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D15D21" w:rsidRPr="00674F89" w:rsidTr="00995825">
        <w:tc>
          <w:tcPr>
            <w:tcW w:w="4748" w:type="dxa"/>
          </w:tcPr>
          <w:p w:rsidR="00D15D21" w:rsidRPr="00674F89" w:rsidRDefault="00D15D21" w:rsidP="00995825">
            <w:pPr>
              <w:spacing w:after="120"/>
            </w:pPr>
            <w:r w:rsidRPr="00674F89">
              <w:rPr>
                <w:b/>
                <w:u w:val="single"/>
              </w:rPr>
              <w:t>NOM</w:t>
            </w:r>
            <w:r w:rsidRPr="00674F89">
              <w:t xml:space="preserve"> : ................................................ </w:t>
            </w:r>
          </w:p>
        </w:tc>
        <w:tc>
          <w:tcPr>
            <w:tcW w:w="4111" w:type="dxa"/>
          </w:tcPr>
          <w:p w:rsidR="00D15D21" w:rsidRPr="00674F89" w:rsidRDefault="00D15D21" w:rsidP="00995825">
            <w:pPr>
              <w:spacing w:after="120"/>
            </w:pPr>
            <w:r w:rsidRPr="00674F89">
              <w:rPr>
                <w:u w:val="single"/>
              </w:rPr>
              <w:t>Prénom</w:t>
            </w:r>
            <w:r w:rsidRPr="00674F89">
              <w:t xml:space="preserve"> : ................................................ </w:t>
            </w:r>
          </w:p>
        </w:tc>
        <w:tc>
          <w:tcPr>
            <w:tcW w:w="1845" w:type="dxa"/>
          </w:tcPr>
          <w:p w:rsidR="00D15D21" w:rsidRPr="00674F89" w:rsidRDefault="00D15D21" w:rsidP="006D5107">
            <w:pPr>
              <w:spacing w:after="120"/>
            </w:pPr>
            <w:r w:rsidRPr="00674F89">
              <w:rPr>
                <w:b/>
                <w:u w:val="single"/>
              </w:rPr>
              <w:t>Classe</w:t>
            </w:r>
            <w:r w:rsidRPr="00674F89">
              <w:t xml:space="preserve"> : </w:t>
            </w:r>
            <w:r w:rsidRPr="00674F89">
              <w:rPr>
                <w:b/>
              </w:rPr>
              <w:t xml:space="preserve">…….  </w:t>
            </w:r>
          </w:p>
        </w:tc>
      </w:tr>
      <w:tr w:rsidR="002448BF" w:rsidRPr="00674F89" w:rsidTr="00995825">
        <w:tc>
          <w:tcPr>
            <w:tcW w:w="4748" w:type="dxa"/>
          </w:tcPr>
          <w:p w:rsidR="002448BF" w:rsidRPr="00674F89" w:rsidRDefault="002448BF" w:rsidP="00995825">
            <w:pPr>
              <w:spacing w:after="120"/>
            </w:pPr>
            <w:r w:rsidRPr="00674F89">
              <w:rPr>
                <w:b/>
                <w:u w:val="single"/>
              </w:rPr>
              <w:t>NOM</w:t>
            </w:r>
            <w:r w:rsidRPr="00674F89">
              <w:t xml:space="preserve"> : ................................................ </w:t>
            </w:r>
          </w:p>
        </w:tc>
        <w:tc>
          <w:tcPr>
            <w:tcW w:w="4111" w:type="dxa"/>
          </w:tcPr>
          <w:p w:rsidR="002448BF" w:rsidRPr="00674F89" w:rsidRDefault="002448BF" w:rsidP="00995825">
            <w:pPr>
              <w:spacing w:after="120"/>
            </w:pPr>
            <w:r w:rsidRPr="00674F89">
              <w:rPr>
                <w:u w:val="single"/>
              </w:rPr>
              <w:t>Prénom</w:t>
            </w:r>
            <w:r w:rsidRPr="00674F89">
              <w:t xml:space="preserve"> : ................................................ </w:t>
            </w:r>
          </w:p>
        </w:tc>
        <w:tc>
          <w:tcPr>
            <w:tcW w:w="1845" w:type="dxa"/>
          </w:tcPr>
          <w:p w:rsidR="002448BF" w:rsidRPr="00674F89" w:rsidRDefault="002448BF" w:rsidP="006D5107">
            <w:pPr>
              <w:spacing w:after="120"/>
            </w:pPr>
            <w:r w:rsidRPr="00674F89">
              <w:rPr>
                <w:b/>
                <w:u w:val="single"/>
              </w:rPr>
              <w:t>Classe</w:t>
            </w:r>
            <w:r w:rsidRPr="00674F89">
              <w:t xml:space="preserve"> : </w:t>
            </w:r>
            <w:r w:rsidRPr="00674F89">
              <w:rPr>
                <w:b/>
              </w:rPr>
              <w:t xml:space="preserve">…….  </w:t>
            </w:r>
          </w:p>
        </w:tc>
      </w:tr>
    </w:tbl>
    <w:p w:rsidR="002448BF" w:rsidRPr="00674F89" w:rsidRDefault="002448BF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3D77D9" w:rsidRPr="00674F89" w:rsidTr="00D15D21">
        <w:tc>
          <w:tcPr>
            <w:tcW w:w="1913" w:type="dxa"/>
            <w:vAlign w:val="center"/>
          </w:tcPr>
          <w:p w:rsidR="003D77D9" w:rsidRPr="00674F89" w:rsidRDefault="003D77D9" w:rsidP="006F7425">
            <w:pPr>
              <w:pStyle w:val="titre0"/>
              <w:rPr>
                <w:sz w:val="24"/>
                <w:szCs w:val="24"/>
              </w:rPr>
            </w:pPr>
            <w:r w:rsidRPr="00674F89">
              <w:rPr>
                <w:sz w:val="24"/>
                <w:szCs w:val="24"/>
              </w:rPr>
              <w:t>1</w:t>
            </w:r>
            <w:r w:rsidRPr="00674F89">
              <w:rPr>
                <w:sz w:val="24"/>
                <w:szCs w:val="24"/>
                <w:vertAlign w:val="superscript"/>
              </w:rPr>
              <w:t>ère</w:t>
            </w:r>
            <w:r w:rsidRPr="00674F89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7D9" w:rsidRPr="00674F89" w:rsidRDefault="003D77D9" w:rsidP="007542DB">
            <w:pPr>
              <w:pStyle w:val="titre0"/>
              <w:rPr>
                <w:sz w:val="22"/>
              </w:rPr>
            </w:pPr>
            <w:r w:rsidRPr="00674F89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3D77D9" w:rsidRPr="00674F89" w:rsidRDefault="00D15D21" w:rsidP="007542DB">
            <w:pPr>
              <w:pStyle w:val="titre0"/>
              <w:rPr>
                <w:sz w:val="22"/>
              </w:rPr>
            </w:pPr>
            <w:r w:rsidRPr="00674F89">
              <w:rPr>
                <w:sz w:val="22"/>
              </w:rPr>
              <w:t>TP05</w:t>
            </w:r>
          </w:p>
        </w:tc>
      </w:tr>
      <w:tr w:rsidR="003D77D9" w:rsidRPr="00674F89" w:rsidTr="00D15D21">
        <w:tc>
          <w:tcPr>
            <w:tcW w:w="1913" w:type="dxa"/>
            <w:vAlign w:val="center"/>
          </w:tcPr>
          <w:p w:rsidR="003D77D9" w:rsidRPr="00674F89" w:rsidRDefault="003D77D9" w:rsidP="007542DB">
            <w:pPr>
              <w:pStyle w:val="titre0"/>
            </w:pPr>
            <w:r w:rsidRPr="00674F89"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7D9" w:rsidRPr="00674F89" w:rsidRDefault="00D15D21" w:rsidP="007542DB">
            <w:pPr>
              <w:pStyle w:val="titre0"/>
            </w:pPr>
            <w:r w:rsidRPr="00674F89">
              <w:t xml:space="preserve">Oxydoréduction </w:t>
            </w:r>
          </w:p>
        </w:tc>
        <w:tc>
          <w:tcPr>
            <w:tcW w:w="1462" w:type="dxa"/>
            <w:tcBorders>
              <w:left w:val="nil"/>
            </w:tcBorders>
          </w:tcPr>
          <w:p w:rsidR="003D77D9" w:rsidRPr="00674F89" w:rsidRDefault="003D77D9" w:rsidP="007542DB">
            <w:pPr>
              <w:pStyle w:val="titre0"/>
            </w:pPr>
            <w:r w:rsidRPr="00674F89">
              <w:sym w:font="Wingdings" w:char="F026"/>
            </w:r>
            <w:r w:rsidRPr="00674F89">
              <w:t xml:space="preserve"> </w:t>
            </w:r>
            <w:r w:rsidRPr="00674F89">
              <w:rPr>
                <w:u w:val="single"/>
              </w:rPr>
              <w:t>Chap.</w:t>
            </w:r>
            <w:r w:rsidR="00D15D21" w:rsidRPr="00674F89">
              <w:rPr>
                <w:u w:val="single"/>
              </w:rPr>
              <w:t>2</w:t>
            </w:r>
          </w:p>
        </w:tc>
      </w:tr>
    </w:tbl>
    <w:p w:rsidR="003D77D9" w:rsidRPr="00674F89" w:rsidRDefault="003D77D9" w:rsidP="006B1CC4">
      <w:pPr>
        <w:pBdr>
          <w:bottom w:val="single" w:sz="4" w:space="1" w:color="auto"/>
        </w:pBdr>
        <w:rPr>
          <w:snapToGrid w:val="0"/>
          <w:lang w:eastAsia="fr-FR"/>
        </w:rPr>
      </w:pPr>
    </w:p>
    <w:p w:rsidR="006B1CC4" w:rsidRPr="00674F89" w:rsidRDefault="006B1CC4">
      <w:pPr>
        <w:rPr>
          <w:snapToGrid w:val="0"/>
          <w:lang w:eastAsia="fr-FR"/>
        </w:rPr>
      </w:pPr>
    </w:p>
    <w:p w:rsidR="006B1CC4" w:rsidRPr="00674F89" w:rsidRDefault="006B1CC4" w:rsidP="006B1CC4">
      <w:pPr>
        <w:pStyle w:val="Titre2"/>
        <w:numPr>
          <w:ilvl w:val="0"/>
          <w:numId w:val="0"/>
        </w:numPr>
        <w:ind w:left="284"/>
      </w:pPr>
      <w:r w:rsidRPr="00674F89">
        <w:t>Barème</w:t>
      </w:r>
    </w:p>
    <w:p w:rsidR="006B1CC4" w:rsidRPr="00674F89" w:rsidRDefault="006B1CC4" w:rsidP="006B1CC4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9"/>
        <w:gridCol w:w="574"/>
        <w:gridCol w:w="10"/>
        <w:gridCol w:w="1646"/>
        <w:gridCol w:w="7"/>
        <w:gridCol w:w="1591"/>
        <w:gridCol w:w="7"/>
        <w:gridCol w:w="1591"/>
        <w:gridCol w:w="7"/>
        <w:gridCol w:w="1756"/>
        <w:gridCol w:w="7"/>
      </w:tblGrid>
      <w:tr w:rsidR="006B1CC4" w:rsidRPr="00674F89" w:rsidTr="00043776">
        <w:trPr>
          <w:gridAfter w:val="1"/>
          <w:wAfter w:w="7" w:type="dxa"/>
          <w:jc w:val="center"/>
        </w:trPr>
        <w:tc>
          <w:tcPr>
            <w:tcW w:w="659" w:type="dxa"/>
            <w:tcBorders>
              <w:top w:val="nil"/>
              <w:left w:val="nil"/>
              <w:right w:val="nil"/>
            </w:tcBorders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57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Réaliser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Analyser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Raisonner</w:t>
            </w:r>
          </w:p>
        </w:tc>
        <w:tc>
          <w:tcPr>
            <w:tcW w:w="1763" w:type="dxa"/>
            <w:gridSpan w:val="2"/>
            <w:shd w:val="clear" w:color="auto" w:fill="auto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 xml:space="preserve">Communiquer </w:t>
            </w: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 w:val="restart"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I</w:t>
            </w: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1</w:t>
            </w:r>
          </w:p>
        </w:tc>
        <w:tc>
          <w:tcPr>
            <w:tcW w:w="1656" w:type="dxa"/>
            <w:gridSpan w:val="2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 xml:space="preserve">A – B – C – D </w:t>
            </w:r>
          </w:p>
        </w:tc>
        <w:tc>
          <w:tcPr>
            <w:tcW w:w="1598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2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A – B – C – D</w:t>
            </w:r>
          </w:p>
        </w:tc>
        <w:tc>
          <w:tcPr>
            <w:tcW w:w="1598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3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A – B – C – D</w:t>
            </w: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 w:val="restart"/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II</w:t>
            </w: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1</w:t>
            </w:r>
          </w:p>
        </w:tc>
        <w:tc>
          <w:tcPr>
            <w:tcW w:w="1656" w:type="dxa"/>
            <w:gridSpan w:val="2"/>
            <w:vMerge w:val="restart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A – B – C – D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A – B – C – D</w:t>
            </w:r>
          </w:p>
        </w:tc>
        <w:tc>
          <w:tcPr>
            <w:tcW w:w="159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2</w:t>
            </w:r>
          </w:p>
        </w:tc>
        <w:tc>
          <w:tcPr>
            <w:tcW w:w="1656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3</w:t>
            </w:r>
          </w:p>
        </w:tc>
        <w:tc>
          <w:tcPr>
            <w:tcW w:w="1656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4</w:t>
            </w:r>
          </w:p>
        </w:tc>
        <w:tc>
          <w:tcPr>
            <w:tcW w:w="1656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Merge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gridAfter w:val="1"/>
          <w:wAfter w:w="7" w:type="dxa"/>
          <w:trHeight w:val="454"/>
          <w:jc w:val="center"/>
        </w:trPr>
        <w:tc>
          <w:tcPr>
            <w:tcW w:w="659" w:type="dxa"/>
            <w:vMerge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574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5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shd w:val="clear" w:color="auto" w:fill="D9D9D9" w:themeFill="background1" w:themeFillShade="D9"/>
            <w:vAlign w:val="center"/>
          </w:tcPr>
          <w:p w:rsidR="006B1CC4" w:rsidRPr="00674F89" w:rsidRDefault="006B1CC4" w:rsidP="00A00D99">
            <w:pPr>
              <w:jc w:val="center"/>
            </w:pPr>
          </w:p>
        </w:tc>
        <w:tc>
          <w:tcPr>
            <w:tcW w:w="1598" w:type="dxa"/>
            <w:gridSpan w:val="2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A – B – C – D</w:t>
            </w:r>
          </w:p>
        </w:tc>
        <w:tc>
          <w:tcPr>
            <w:tcW w:w="1763" w:type="dxa"/>
            <w:gridSpan w:val="2"/>
            <w:shd w:val="clear" w:color="auto" w:fill="D9D9D9" w:themeFill="background1" w:themeFillShade="D9"/>
          </w:tcPr>
          <w:p w:rsidR="006B1CC4" w:rsidRPr="00674F89" w:rsidRDefault="006B1CC4" w:rsidP="00A00D99">
            <w:pPr>
              <w:jc w:val="center"/>
            </w:pPr>
          </w:p>
        </w:tc>
      </w:tr>
      <w:tr w:rsidR="006B1CC4" w:rsidRPr="00674F89" w:rsidTr="00A00D99">
        <w:trPr>
          <w:trHeight w:val="454"/>
          <w:jc w:val="center"/>
        </w:trPr>
        <w:tc>
          <w:tcPr>
            <w:tcW w:w="1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rPr>
                <w:b/>
              </w:rPr>
              <w:t>Global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A – B – C – D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A – B – C – D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A – B – C – D</w:t>
            </w:r>
          </w:p>
        </w:tc>
        <w:tc>
          <w:tcPr>
            <w:tcW w:w="176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>A – B – C – D</w:t>
            </w:r>
          </w:p>
        </w:tc>
      </w:tr>
      <w:tr w:rsidR="006B1CC4" w:rsidRPr="00674F89" w:rsidTr="00A00D99">
        <w:trPr>
          <w:trHeight w:val="454"/>
          <w:jc w:val="center"/>
        </w:trPr>
        <w:tc>
          <w:tcPr>
            <w:tcW w:w="1243" w:type="dxa"/>
            <w:gridSpan w:val="3"/>
            <w:tcBorders>
              <w:top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  <w:rPr>
                <w:b/>
              </w:rPr>
            </w:pPr>
            <w:r w:rsidRPr="00674F89">
              <w:rPr>
                <w:b/>
              </w:rPr>
              <w:t xml:space="preserve">Coefficient 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5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5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2</w:t>
            </w:r>
          </w:p>
        </w:tc>
        <w:tc>
          <w:tcPr>
            <w:tcW w:w="1763" w:type="dxa"/>
            <w:gridSpan w:val="2"/>
            <w:tcBorders>
              <w:top w:val="single" w:sz="12" w:space="0" w:color="auto"/>
            </w:tcBorders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t>2</w:t>
            </w:r>
          </w:p>
        </w:tc>
      </w:tr>
      <w:tr w:rsidR="006B1CC4" w:rsidRPr="00674F89" w:rsidTr="00A00D99">
        <w:trPr>
          <w:trHeight w:val="751"/>
          <w:jc w:val="center"/>
        </w:trPr>
        <w:tc>
          <w:tcPr>
            <w:tcW w:w="7855" w:type="dxa"/>
            <w:gridSpan w:val="11"/>
            <w:vAlign w:val="center"/>
          </w:tcPr>
          <w:p w:rsidR="006B1CC4" w:rsidRPr="00674F89" w:rsidRDefault="006B1CC4" w:rsidP="00A00D99">
            <w:pPr>
              <w:jc w:val="right"/>
              <w:rPr>
                <w:b/>
                <w:sz w:val="28"/>
              </w:rPr>
            </w:pPr>
            <w:r w:rsidRPr="00674F89">
              <w:rPr>
                <w:b/>
                <w:sz w:val="28"/>
                <w:u w:val="single"/>
              </w:rPr>
              <w:t>NOTE</w:t>
            </w:r>
            <w:r w:rsidRPr="00674F89">
              <w:rPr>
                <w:b/>
                <w:sz w:val="28"/>
              </w:rPr>
              <w:t> : ……. /20</w:t>
            </w:r>
          </w:p>
        </w:tc>
      </w:tr>
    </w:tbl>
    <w:p w:rsidR="006B1CC4" w:rsidRPr="00674F89" w:rsidRDefault="006B1CC4" w:rsidP="006B1CC4">
      <w:pPr>
        <w:pBdr>
          <w:bottom w:val="single" w:sz="4" w:space="1" w:color="auto"/>
        </w:pBdr>
      </w:pPr>
    </w:p>
    <w:p w:rsidR="006B1CC4" w:rsidRPr="00674F89" w:rsidRDefault="006B1CC4" w:rsidP="006B1CC4"/>
    <w:p w:rsidR="006B1CC4" w:rsidRPr="00674F89" w:rsidRDefault="006B1CC4" w:rsidP="006B1CC4">
      <w:pPr>
        <w:pStyle w:val="Titre2"/>
        <w:numPr>
          <w:ilvl w:val="0"/>
          <w:numId w:val="0"/>
        </w:numPr>
        <w:ind w:left="284"/>
      </w:pPr>
      <w:r w:rsidRPr="00674F89">
        <w:t>Matériel</w:t>
      </w:r>
    </w:p>
    <w:p w:rsidR="006B1CC4" w:rsidRPr="00674F89" w:rsidRDefault="006B1CC4" w:rsidP="006B1C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6B1CC4" w:rsidRPr="00674F89" w:rsidTr="00A00D99">
        <w:tc>
          <w:tcPr>
            <w:tcW w:w="5381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rPr>
                <w:b/>
                <w:bCs/>
                <w:lang w:eastAsia="fr-FR"/>
              </w:rPr>
              <w:t>Élèves</w:t>
            </w:r>
          </w:p>
        </w:tc>
        <w:tc>
          <w:tcPr>
            <w:tcW w:w="5381" w:type="dxa"/>
            <w:vAlign w:val="center"/>
          </w:tcPr>
          <w:p w:rsidR="006B1CC4" w:rsidRPr="00674F89" w:rsidRDefault="006B1CC4" w:rsidP="00A00D99">
            <w:pPr>
              <w:jc w:val="center"/>
            </w:pPr>
            <w:r w:rsidRPr="00674F89">
              <w:rPr>
                <w:b/>
                <w:bCs/>
                <w:lang w:eastAsia="fr-FR"/>
              </w:rPr>
              <w:t>Bureau</w:t>
            </w:r>
          </w:p>
        </w:tc>
      </w:tr>
      <w:tr w:rsidR="006B1CC4" w:rsidRPr="00674F89" w:rsidTr="00A00D99">
        <w:tc>
          <w:tcPr>
            <w:tcW w:w="5381" w:type="dxa"/>
          </w:tcPr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6 tubes à essais sur porte tube à essais + bouchons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4 béchers 50 mL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Flacon de soude molaire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1 spatule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Dispositif de filtration avec papier filtre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Entonnoir</w:t>
            </w:r>
          </w:p>
          <w:p w:rsidR="006B1CC4" w:rsidRPr="00674F89" w:rsidRDefault="006B1CC4" w:rsidP="00A00D99">
            <w:pPr>
              <w:spacing w:line="360" w:lineRule="auto"/>
              <w:rPr>
                <w:lang w:eastAsia="fr-FR"/>
              </w:rPr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1 pissette d</w:t>
            </w:r>
            <w:r w:rsidR="00674F89" w:rsidRPr="00674F89">
              <w:rPr>
                <w:lang w:eastAsia="fr-FR"/>
              </w:rPr>
              <w:t>’</w:t>
            </w:r>
            <w:r w:rsidRPr="00674F89">
              <w:rPr>
                <w:lang w:eastAsia="fr-FR"/>
              </w:rPr>
              <w:t>eau distillée</w:t>
            </w:r>
          </w:p>
          <w:p w:rsidR="006B1CC4" w:rsidRPr="00674F89" w:rsidRDefault="006B1CC4" w:rsidP="00A00D99">
            <w:pPr>
              <w:spacing w:line="360" w:lineRule="auto"/>
            </w:pPr>
            <w:r w:rsidRPr="00674F89">
              <w:rPr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rPr>
                <w:lang w:eastAsia="fr-FR"/>
              </w:rPr>
              <w:instrText xml:space="preserve"> FORMCHECKBOX </w:instrText>
            </w:r>
            <w:r w:rsidR="009F57A5">
              <w:rPr>
                <w:lang w:eastAsia="fr-FR"/>
              </w:rPr>
            </w:r>
            <w:r w:rsidR="009F57A5">
              <w:rPr>
                <w:lang w:eastAsia="fr-FR"/>
              </w:rPr>
              <w:fldChar w:fldCharType="separate"/>
            </w:r>
            <w:r w:rsidRPr="00674F89">
              <w:rPr>
                <w:lang w:eastAsia="fr-FR"/>
              </w:rPr>
              <w:fldChar w:fldCharType="end"/>
            </w:r>
            <w:r w:rsidRPr="00674F89">
              <w:rPr>
                <w:lang w:eastAsia="fr-FR"/>
              </w:rPr>
              <w:t xml:space="preserve"> Pipette plastique de 3 mL </w:t>
            </w:r>
          </w:p>
        </w:tc>
        <w:tc>
          <w:tcPr>
            <w:tcW w:w="5381" w:type="dxa"/>
          </w:tcPr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sulfate de cuivre II à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iodure de potassium à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peroxodisulfate de potassium à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chlorure de fer III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sulfate de fer II à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chlorure de baryum à 0,1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permanganate de potassium à 0,02 mol.L</w:t>
            </w:r>
            <w:r w:rsidRPr="00674F89">
              <w:rPr>
                <w:vertAlign w:val="superscript"/>
                <w:lang w:eastAsia="fr-FR"/>
              </w:rPr>
              <w:t>-1</w:t>
            </w:r>
          </w:p>
          <w:p w:rsidR="006B1CC4" w:rsidRPr="00674F89" w:rsidRDefault="006B1CC4" w:rsidP="00DA18E1">
            <w:pPr>
              <w:spacing w:line="276" w:lineRule="auto"/>
              <w:rPr>
                <w:lang w:eastAsia="fr-FR"/>
              </w:rPr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Solution </w:t>
            </w:r>
            <w:r w:rsidRPr="00674F89">
              <w:rPr>
                <w:lang w:eastAsia="fr-FR"/>
              </w:rPr>
              <w:t>d</w:t>
            </w:r>
            <w:r w:rsidR="00674F89" w:rsidRPr="00674F89">
              <w:rPr>
                <w:lang w:eastAsia="fr-FR"/>
              </w:rPr>
              <w:t>’</w:t>
            </w:r>
            <w:r w:rsidRPr="00674F89">
              <w:rPr>
                <w:lang w:eastAsia="fr-FR"/>
              </w:rPr>
              <w:t>acide sulfurique molaire (1 mol.L</w:t>
            </w:r>
            <w:r w:rsidRPr="00674F89">
              <w:rPr>
                <w:vertAlign w:val="superscript"/>
                <w:lang w:eastAsia="fr-FR"/>
              </w:rPr>
              <w:t>-1</w:t>
            </w:r>
            <w:r w:rsidRPr="00674F89">
              <w:rPr>
                <w:lang w:eastAsia="fr-FR"/>
              </w:rPr>
              <w:t>)</w:t>
            </w:r>
          </w:p>
          <w:p w:rsidR="00DA18E1" w:rsidRPr="00674F89" w:rsidRDefault="00DA18E1" w:rsidP="00DA18E1">
            <w:pPr>
              <w:spacing w:line="276" w:lineRule="auto"/>
            </w:pPr>
            <w:r w:rsidRPr="00674F89">
              <w:rPr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674F89">
              <w:rPr>
                <w:lang w:eastAsia="fr-FR"/>
              </w:rPr>
              <w:instrText xml:space="preserve"> FORMCHECKBOX </w:instrText>
            </w:r>
            <w:r w:rsidR="009F57A5">
              <w:rPr>
                <w:lang w:eastAsia="fr-FR"/>
              </w:rPr>
            </w:r>
            <w:r w:rsidR="009F57A5">
              <w:rPr>
                <w:lang w:eastAsia="fr-FR"/>
              </w:rPr>
              <w:fldChar w:fldCharType="separate"/>
            </w:r>
            <w:r w:rsidRPr="00674F89">
              <w:rPr>
                <w:lang w:eastAsia="fr-FR"/>
              </w:rPr>
              <w:fldChar w:fldCharType="end"/>
            </w:r>
            <w:bookmarkEnd w:id="0"/>
            <w:r w:rsidRPr="00674F89">
              <w:rPr>
                <w:lang w:eastAsia="fr-FR"/>
              </w:rPr>
              <w:t xml:space="preserve"> Solution d</w:t>
            </w:r>
            <w:r w:rsidR="00674F89" w:rsidRPr="00674F89">
              <w:rPr>
                <w:lang w:eastAsia="fr-FR"/>
              </w:rPr>
              <w:t>’</w:t>
            </w:r>
            <w:r w:rsidRPr="00674F89">
              <w:rPr>
                <w:lang w:eastAsia="fr-FR"/>
              </w:rPr>
              <w:t xml:space="preserve">hydroxyde de sodium 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Cyclohexane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Tournures de cuivre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Poudre de fer</w:t>
            </w:r>
          </w:p>
          <w:p w:rsidR="006B1CC4" w:rsidRPr="00674F89" w:rsidRDefault="006B1CC4" w:rsidP="00DA18E1">
            <w:pPr>
              <w:spacing w:line="276" w:lineRule="auto"/>
            </w:pPr>
            <w:r w:rsidRPr="00674F89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F89">
              <w:instrText xml:space="preserve"> FORMCHECKBOX </w:instrText>
            </w:r>
            <w:r w:rsidR="009F57A5">
              <w:fldChar w:fldCharType="separate"/>
            </w:r>
            <w:r w:rsidRPr="00674F89">
              <w:fldChar w:fldCharType="end"/>
            </w:r>
            <w:r w:rsidRPr="00674F89">
              <w:t xml:space="preserve"> </w:t>
            </w:r>
            <w:r w:rsidRPr="00674F89">
              <w:rPr>
                <w:lang w:eastAsia="fr-FR"/>
              </w:rPr>
              <w:t>Eau distillée</w:t>
            </w:r>
          </w:p>
        </w:tc>
      </w:tr>
    </w:tbl>
    <w:p w:rsidR="006B1CC4" w:rsidRPr="00674F89" w:rsidRDefault="006B1CC4" w:rsidP="006B1CC4"/>
    <w:p w:rsidR="006B1CC4" w:rsidRPr="00674F89" w:rsidRDefault="006B1CC4">
      <w:pPr>
        <w:spacing w:after="200"/>
      </w:pPr>
      <w:r w:rsidRPr="00674F89">
        <w:br w:type="page"/>
      </w:r>
    </w:p>
    <w:p w:rsidR="006B1CC4" w:rsidRPr="00674F89" w:rsidRDefault="006B1CC4" w:rsidP="006B1CC4">
      <w:pPr>
        <w:pStyle w:val="fl1"/>
        <w:rPr>
          <w:rFonts w:ascii="Linux Biolinum G" w:hAnsi="Linux Biolinum G" w:cs="Linux Biolinum G"/>
          <w:lang w:eastAsia="fr-FR"/>
        </w:rPr>
      </w:pPr>
      <w:r w:rsidRPr="00674F89">
        <w:rPr>
          <w:b/>
          <w:bCs/>
          <w:lang w:eastAsia="fr-FR"/>
        </w:rPr>
        <w:lastRenderedPageBreak/>
        <w:t>But du TP</w:t>
      </w:r>
      <w:r w:rsidRPr="00674F89">
        <w:rPr>
          <w:lang w:eastAsia="fr-FR"/>
        </w:rPr>
        <w:t> : Mettre en œuvre des transformations modélisées par des réactions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 xml:space="preserve">oxydo-réduction, puis les traduire </w:t>
      </w:r>
      <w:r w:rsidR="00DA18E1" w:rsidRPr="00674F89">
        <w:rPr>
          <w:rFonts w:ascii="Linux Biolinum G" w:hAnsi="Linux Biolinum G" w:cs="Linux Biolinum G"/>
          <w:noProof/>
          <w:lang w:eastAsia="fr-FR"/>
        </w:rPr>
        <w:drawing>
          <wp:anchor distT="0" distB="0" distL="114300" distR="114300" simplePos="0" relativeHeight="251658240" behindDoc="0" locked="0" layoutInCell="1" allowOverlap="0" wp14:anchorId="7B34367B" wp14:editId="1D1B17AE">
            <wp:simplePos x="0" y="0"/>
            <wp:positionH relativeFrom="column">
              <wp:posOffset>4269765</wp:posOffset>
            </wp:positionH>
            <wp:positionV relativeFrom="line">
              <wp:posOffset>73767</wp:posOffset>
            </wp:positionV>
            <wp:extent cx="2619375" cy="2257425"/>
            <wp:effectExtent l="0" t="0" r="9525" b="9525"/>
            <wp:wrapSquare wrapText="bothSides"/>
            <wp:docPr id="1" name="Image 1" descr="C:\Users\Bougaud\AppData\Local\Temp\lu4000zxoa.tmp\lu4000zxor_tmp_a7d31a04cc25f0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ugaud\AppData\Local\Temp\lu4000zxoa.tmp\lu4000zxor_tmp_a7d31a04cc25f06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F89">
        <w:rPr>
          <w:lang w:eastAsia="fr-FR"/>
        </w:rPr>
        <w:t>par une équation bilan.</w:t>
      </w:r>
    </w:p>
    <w:p w:rsidR="006B1CC4" w:rsidRPr="00674F89" w:rsidRDefault="006B1CC4" w:rsidP="006B1CC4">
      <w:pPr>
        <w:rPr>
          <w:lang w:eastAsia="fr-FR"/>
        </w:rPr>
      </w:pPr>
    </w:p>
    <w:p w:rsidR="00680BA3" w:rsidRPr="00674F89" w:rsidRDefault="00680BA3" w:rsidP="00680BA3">
      <w:pPr>
        <w:pStyle w:val="Titre1"/>
        <w:numPr>
          <w:ilvl w:val="0"/>
          <w:numId w:val="0"/>
        </w:numPr>
      </w:pPr>
      <w:r w:rsidRPr="00674F89">
        <w:t>Introduction</w:t>
      </w:r>
    </w:p>
    <w:p w:rsidR="00680BA3" w:rsidRPr="00674F89" w:rsidRDefault="00680BA3" w:rsidP="00680BA3">
      <w:pPr>
        <w:pStyle w:val="point0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>Une réaction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oxydo-réduction (ou réaction redox) est une réaction chimique au cours de laquelle se produit un transfert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électrons.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 xml:space="preserve">espèce chimique qui capte les électrons est appelée « oxydant » ; celle qui les cède est le « réducteur ». </w:t>
      </w:r>
    </w:p>
    <w:p w:rsidR="00680BA3" w:rsidRPr="00674F89" w:rsidRDefault="00680BA3" w:rsidP="00680BA3">
      <w:pPr>
        <w:pStyle w:val="point0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 xml:space="preserve">Les réactions </w:t>
      </w:r>
      <w:r w:rsidR="00DA18E1" w:rsidRPr="00674F89">
        <w:rPr>
          <w:lang w:eastAsia="fr-FR"/>
        </w:rPr>
        <w:t>d</w:t>
      </w:r>
      <w:r w:rsidR="00674F89" w:rsidRPr="00674F89">
        <w:rPr>
          <w:lang w:eastAsia="fr-FR"/>
        </w:rPr>
        <w:t>’</w:t>
      </w:r>
      <w:r w:rsidR="00DA18E1" w:rsidRPr="00674F89">
        <w:rPr>
          <w:lang w:eastAsia="fr-FR"/>
        </w:rPr>
        <w:t xml:space="preserve">oxydoréduction </w:t>
      </w:r>
      <w:r w:rsidRPr="00674F89">
        <w:rPr>
          <w:lang w:eastAsia="fr-FR"/>
        </w:rPr>
        <w:t>constituent une grande famille comprenant de nombreuses réactions chimiques, puisqu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elles interviennent dans les combustions, certains dosages métallurgiques, la corrosion des métaux,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électrochimie ou la respiration cellulaire. Ces réactions jouent en particulier un rôle fondamental en biologie, dans la transformation de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oxygène en eau (H</w:t>
      </w:r>
      <w:r w:rsidRPr="00674F89">
        <w:rPr>
          <w:vertAlign w:val="subscript"/>
          <w:lang w:eastAsia="fr-FR"/>
        </w:rPr>
        <w:t>2</w:t>
      </w:r>
      <w:r w:rsidRPr="00674F89">
        <w:rPr>
          <w:lang w:eastAsia="fr-FR"/>
        </w:rPr>
        <w:t>O) au sein des organismes vivants. Elles sont également massivement utilisées par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industrie, à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exemple de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obtention de la fonte à partir de la réduction de minerais composés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oxyde de fer.</w:t>
      </w:r>
    </w:p>
    <w:p w:rsidR="00680BA3" w:rsidRPr="00674F89" w:rsidRDefault="00DA18E1" w:rsidP="00680BA3">
      <w:pPr>
        <w:pStyle w:val="point0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>Cette omniprésence de l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oxydo</w:t>
      </w:r>
      <w:r w:rsidR="00680BA3" w:rsidRPr="00674F89">
        <w:rPr>
          <w:lang w:eastAsia="fr-FR"/>
        </w:rPr>
        <w:t>réduction s</w:t>
      </w:r>
      <w:r w:rsidR="00674F89" w:rsidRPr="00674F89">
        <w:rPr>
          <w:lang w:eastAsia="fr-FR"/>
        </w:rPr>
        <w:t>’</w:t>
      </w:r>
      <w:r w:rsidR="00680BA3" w:rsidRPr="00674F89">
        <w:rPr>
          <w:lang w:eastAsia="fr-FR"/>
        </w:rPr>
        <w:t>explique par la mobilité de l</w:t>
      </w:r>
      <w:r w:rsidR="00674F89" w:rsidRPr="00674F89">
        <w:rPr>
          <w:lang w:eastAsia="fr-FR"/>
        </w:rPr>
        <w:t>’</w:t>
      </w:r>
      <w:r w:rsidR="00680BA3" w:rsidRPr="00674F89">
        <w:rPr>
          <w:lang w:eastAsia="fr-FR"/>
        </w:rPr>
        <w:t xml:space="preserve">électron, sa légèreté et sa présence dans toutes les formes de la matière. </w:t>
      </w:r>
    </w:p>
    <w:p w:rsidR="00680BA3" w:rsidRPr="00674F89" w:rsidRDefault="00680BA3" w:rsidP="00680BA3">
      <w:pPr>
        <w:rPr>
          <w:lang w:eastAsia="fr-FR"/>
        </w:rPr>
      </w:pPr>
    </w:p>
    <w:p w:rsidR="00680BA3" w:rsidRPr="00674F89" w:rsidRDefault="00680BA3" w:rsidP="00680BA3">
      <w:pPr>
        <w:pStyle w:val="Titre2"/>
        <w:numPr>
          <w:ilvl w:val="0"/>
          <w:numId w:val="0"/>
        </w:numPr>
        <w:ind w:left="284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>Document 1 : Test des ions</w:t>
      </w:r>
    </w:p>
    <w:p w:rsidR="00680BA3" w:rsidRPr="00674F89" w:rsidRDefault="00680BA3" w:rsidP="00680BA3">
      <w:pPr>
        <w:pStyle w:val="point1"/>
        <w:rPr>
          <w:rFonts w:ascii="Linux Biolinum G" w:hAnsi="Linux Biolinum G" w:cs="Linux Biolinum G"/>
          <w:noProof w:val="0"/>
          <w:lang w:eastAsia="fr-FR"/>
        </w:rPr>
      </w:pPr>
      <w:r w:rsidRPr="00674F89">
        <w:rPr>
          <w:noProof w:val="0"/>
          <w:lang w:eastAsia="fr-FR"/>
        </w:rPr>
        <w:t xml:space="preserve">De nombreux ions métalliques en solution aqueuse peuvent être identifiés par un test chimique : ils forment des précipités caractéristiques avec les ions hydroxyde </w:t>
      </w:r>
      <w:r w:rsidR="00DA18E1" w:rsidRPr="00674F89">
        <w:rPr>
          <w:noProof w:val="0"/>
          <w:lang w:eastAsia="fr-FR"/>
        </w:rPr>
        <w:t>HO</w:t>
      </w:r>
      <w:r w:rsidR="00DA18E1" w:rsidRPr="00674F89">
        <w:rPr>
          <w:noProof w:val="0"/>
          <w:vertAlign w:val="superscript"/>
          <w:lang w:eastAsia="fr-FR"/>
        </w:rPr>
        <w:t>-</w:t>
      </w:r>
      <w:r w:rsidR="00DA18E1" w:rsidRPr="00674F89">
        <w:rPr>
          <w:noProof w:val="0"/>
          <w:vertAlign w:val="subscript"/>
          <w:lang w:eastAsia="fr-FR"/>
        </w:rPr>
        <w:t>(aq)</w:t>
      </w:r>
      <w:r w:rsidRPr="00674F89">
        <w:rPr>
          <w:noProof w:val="0"/>
          <w:lang w:eastAsia="fr-FR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27"/>
        <w:gridCol w:w="1891"/>
        <w:gridCol w:w="2282"/>
      </w:tblGrid>
      <w:tr w:rsidR="00680BA3" w:rsidRPr="00674F89" w:rsidTr="00680BA3">
        <w:trPr>
          <w:jc w:val="center"/>
        </w:trPr>
        <w:tc>
          <w:tcPr>
            <w:tcW w:w="1127" w:type="dxa"/>
            <w:vAlign w:val="center"/>
          </w:tcPr>
          <w:p w:rsidR="00680BA3" w:rsidRPr="00674F89" w:rsidRDefault="00680BA3" w:rsidP="00680BA3">
            <w:pPr>
              <w:jc w:val="center"/>
              <w:rPr>
                <w:lang w:eastAsia="fr-FR"/>
              </w:rPr>
            </w:pPr>
            <w:r w:rsidRPr="00680BA3">
              <w:rPr>
                <w:b/>
                <w:bCs/>
                <w:lang w:eastAsia="fr-FR"/>
              </w:rPr>
              <w:t>Ion testé</w:t>
            </w:r>
          </w:p>
        </w:tc>
        <w:tc>
          <w:tcPr>
            <w:tcW w:w="1891" w:type="dxa"/>
            <w:vAlign w:val="center"/>
          </w:tcPr>
          <w:p w:rsidR="00680BA3" w:rsidRPr="00674F89" w:rsidRDefault="00680BA3" w:rsidP="00680BA3">
            <w:pPr>
              <w:jc w:val="center"/>
              <w:rPr>
                <w:lang w:eastAsia="fr-FR"/>
              </w:rPr>
            </w:pPr>
            <w:r w:rsidRPr="00680BA3">
              <w:rPr>
                <w:b/>
                <w:bCs/>
                <w:lang w:eastAsia="fr-FR"/>
              </w:rPr>
              <w:t>Formule de l</w:t>
            </w:r>
            <w:r w:rsidR="00674F89" w:rsidRPr="00674F89">
              <w:rPr>
                <w:b/>
                <w:bCs/>
                <w:lang w:eastAsia="fr-FR"/>
              </w:rPr>
              <w:t>’</w:t>
            </w:r>
            <w:r w:rsidRPr="00680BA3">
              <w:rPr>
                <w:b/>
                <w:bCs/>
                <w:lang w:eastAsia="fr-FR"/>
              </w:rPr>
              <w:t>ion</w:t>
            </w:r>
          </w:p>
        </w:tc>
        <w:tc>
          <w:tcPr>
            <w:tcW w:w="2282" w:type="dxa"/>
            <w:vAlign w:val="center"/>
          </w:tcPr>
          <w:p w:rsidR="00680BA3" w:rsidRPr="00674F89" w:rsidRDefault="00680BA3" w:rsidP="00680BA3">
            <w:pPr>
              <w:jc w:val="center"/>
              <w:rPr>
                <w:lang w:eastAsia="fr-FR"/>
              </w:rPr>
            </w:pPr>
            <w:r w:rsidRPr="00680BA3">
              <w:rPr>
                <w:b/>
                <w:bCs/>
                <w:lang w:eastAsia="fr-FR"/>
              </w:rPr>
              <w:t>Couleur du précipité</w:t>
            </w:r>
          </w:p>
        </w:tc>
      </w:tr>
      <w:tr w:rsidR="00680BA3" w:rsidRPr="00674F89" w:rsidTr="00680BA3">
        <w:trPr>
          <w:jc w:val="center"/>
        </w:trPr>
        <w:tc>
          <w:tcPr>
            <w:tcW w:w="1127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Cuivre II</w:t>
            </w:r>
          </w:p>
        </w:tc>
        <w:tc>
          <w:tcPr>
            <w:tcW w:w="1891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Cu</w:t>
            </w:r>
            <w:r w:rsidRPr="00680BA3">
              <w:rPr>
                <w:vertAlign w:val="superscript"/>
                <w:lang w:eastAsia="fr-FR"/>
              </w:rPr>
              <w:t>2+</w:t>
            </w:r>
          </w:p>
        </w:tc>
        <w:tc>
          <w:tcPr>
            <w:tcW w:w="2282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Bleu</w:t>
            </w:r>
          </w:p>
        </w:tc>
      </w:tr>
      <w:tr w:rsidR="00680BA3" w:rsidRPr="00674F89" w:rsidTr="00680BA3">
        <w:trPr>
          <w:jc w:val="center"/>
        </w:trPr>
        <w:tc>
          <w:tcPr>
            <w:tcW w:w="1127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Fer II</w:t>
            </w:r>
          </w:p>
        </w:tc>
        <w:tc>
          <w:tcPr>
            <w:tcW w:w="1891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Fe</w:t>
            </w:r>
            <w:r w:rsidRPr="00680BA3">
              <w:rPr>
                <w:vertAlign w:val="superscript"/>
                <w:lang w:eastAsia="fr-FR"/>
              </w:rPr>
              <w:t>2+</w:t>
            </w:r>
          </w:p>
        </w:tc>
        <w:tc>
          <w:tcPr>
            <w:tcW w:w="2282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Verdâtre</w:t>
            </w:r>
          </w:p>
        </w:tc>
      </w:tr>
      <w:tr w:rsidR="00680BA3" w:rsidRPr="00674F89" w:rsidTr="00680BA3">
        <w:trPr>
          <w:jc w:val="center"/>
        </w:trPr>
        <w:tc>
          <w:tcPr>
            <w:tcW w:w="1127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Fer III</w:t>
            </w:r>
          </w:p>
        </w:tc>
        <w:tc>
          <w:tcPr>
            <w:tcW w:w="1891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Fe</w:t>
            </w:r>
            <w:r w:rsidRPr="00680BA3">
              <w:rPr>
                <w:vertAlign w:val="superscript"/>
                <w:lang w:eastAsia="fr-FR"/>
              </w:rPr>
              <w:t>3+</w:t>
            </w:r>
          </w:p>
        </w:tc>
        <w:tc>
          <w:tcPr>
            <w:tcW w:w="2282" w:type="dxa"/>
            <w:vAlign w:val="center"/>
          </w:tcPr>
          <w:p w:rsidR="00680BA3" w:rsidRPr="00680BA3" w:rsidRDefault="00680BA3" w:rsidP="00680BA3">
            <w:pPr>
              <w:spacing w:before="100" w:beforeAutospacing="1"/>
              <w:jc w:val="center"/>
              <w:rPr>
                <w:rFonts w:ascii="Linux Biolinum G" w:hAnsi="Linux Biolinum G" w:cs="Linux Biolinum G"/>
                <w:lang w:eastAsia="fr-FR"/>
              </w:rPr>
            </w:pPr>
            <w:r w:rsidRPr="00680BA3">
              <w:rPr>
                <w:lang w:eastAsia="fr-FR"/>
              </w:rPr>
              <w:t>Rouille</w:t>
            </w:r>
          </w:p>
        </w:tc>
      </w:tr>
    </w:tbl>
    <w:p w:rsidR="00680BA3" w:rsidRPr="00674F89" w:rsidRDefault="00680BA3" w:rsidP="00680BA3">
      <w:pPr>
        <w:rPr>
          <w:lang w:eastAsia="fr-FR"/>
        </w:rPr>
      </w:pPr>
    </w:p>
    <w:p w:rsidR="00680BA3" w:rsidRPr="00674F89" w:rsidRDefault="00680BA3" w:rsidP="00680BA3">
      <w:pPr>
        <w:pStyle w:val="Titre2"/>
        <w:numPr>
          <w:ilvl w:val="0"/>
          <w:numId w:val="0"/>
        </w:numPr>
        <w:ind w:left="284"/>
        <w:rPr>
          <w:sz w:val="24"/>
          <w:szCs w:val="24"/>
          <w:lang w:eastAsia="fr-FR"/>
        </w:rPr>
      </w:pPr>
      <w:r w:rsidRPr="00674F89">
        <w:rPr>
          <w:lang w:eastAsia="fr-FR"/>
        </w:rPr>
        <w:t>Document 2 : Couleur du diiode</w:t>
      </w:r>
    </w:p>
    <w:p w:rsidR="00680BA3" w:rsidRPr="00674F89" w:rsidRDefault="00680BA3" w:rsidP="00680BA3">
      <w:pPr>
        <w:pStyle w:val="point1"/>
        <w:rPr>
          <w:rFonts w:ascii="Linux Biolinum G" w:hAnsi="Linux Biolinum G" w:cs="Linux Biolinum G"/>
          <w:noProof w:val="0"/>
          <w:lang w:eastAsia="fr-FR"/>
        </w:rPr>
      </w:pPr>
      <w:r w:rsidRPr="00674F89">
        <w:rPr>
          <w:noProof w:val="0"/>
          <w:lang w:eastAsia="fr-FR"/>
        </w:rPr>
        <w:t>Le diiode I</w:t>
      </w:r>
      <w:r w:rsidRPr="00674F89">
        <w:rPr>
          <w:noProof w:val="0"/>
          <w:vertAlign w:val="subscript"/>
          <w:lang w:eastAsia="fr-FR"/>
        </w:rPr>
        <w:t>2</w:t>
      </w:r>
      <w:r w:rsidRPr="00674F89">
        <w:rPr>
          <w:noProof w:val="0"/>
          <w:lang w:eastAsia="fr-FR"/>
        </w:rPr>
        <w:t xml:space="preserve"> est une espèce dont la solubilité et la couleur dépendent du solvant dans lequel elle se trouve : le diiode est peu soluble dans l</w:t>
      </w:r>
      <w:r w:rsidR="00674F89" w:rsidRPr="00674F89">
        <w:rPr>
          <w:noProof w:val="0"/>
          <w:lang w:eastAsia="fr-FR"/>
        </w:rPr>
        <w:t>’</w:t>
      </w:r>
      <w:r w:rsidRPr="00674F89">
        <w:rPr>
          <w:noProof w:val="0"/>
          <w:lang w:eastAsia="fr-FR"/>
        </w:rPr>
        <w:t>eau dans laquelle il prend une couleur jaune-orangée. En revanche, le diiode est très soluble dans le cyclohexane dans lequel il devient violet.</w:t>
      </w:r>
    </w:p>
    <w:p w:rsidR="00680BA3" w:rsidRPr="00674F89" w:rsidRDefault="00680BA3" w:rsidP="00680BA3">
      <w:pPr>
        <w:pStyle w:val="point1"/>
        <w:rPr>
          <w:rFonts w:ascii="Linux Biolinum G" w:hAnsi="Linux Biolinum G" w:cs="Linux Biolinum G"/>
          <w:noProof w:val="0"/>
          <w:lang w:eastAsia="fr-FR"/>
        </w:rPr>
      </w:pPr>
      <w:r w:rsidRPr="00674F89">
        <w:rPr>
          <w:noProof w:val="0"/>
          <w:lang w:eastAsia="fr-FR"/>
        </w:rPr>
        <w:t>L</w:t>
      </w:r>
      <w:r w:rsidR="00674F89" w:rsidRPr="00674F89">
        <w:rPr>
          <w:noProof w:val="0"/>
          <w:lang w:eastAsia="fr-FR"/>
        </w:rPr>
        <w:t>’</w:t>
      </w:r>
      <w:r w:rsidRPr="00674F89">
        <w:rPr>
          <w:noProof w:val="0"/>
          <w:lang w:eastAsia="fr-FR"/>
        </w:rPr>
        <w:t>eau et le cyclohexane sont deux solvants non miscibles.</w:t>
      </w:r>
    </w:p>
    <w:p w:rsidR="00596EF8" w:rsidRPr="00674F89" w:rsidRDefault="00596EF8" w:rsidP="00596EF8">
      <w:pPr>
        <w:pStyle w:val="Titre2"/>
        <w:numPr>
          <w:ilvl w:val="0"/>
          <w:numId w:val="0"/>
        </w:numPr>
        <w:ind w:left="284"/>
        <w:rPr>
          <w:lang w:eastAsia="fr-FR"/>
        </w:rPr>
      </w:pPr>
      <w:r w:rsidRPr="00674F89">
        <w:rPr>
          <w:lang w:eastAsia="fr-FR"/>
        </w:rPr>
        <w:t xml:space="preserve">Document 3 : </w:t>
      </w:r>
      <w:r w:rsidRPr="00674F89">
        <w:t>Fiche méthode pour équilibrer une réaction d</w:t>
      </w:r>
      <w:r w:rsidR="00674F89" w:rsidRPr="00674F89">
        <w:t>’</w:t>
      </w:r>
      <w:r w:rsidRPr="00674F89">
        <w:t>oxydoréduction (sur feuille jointe)</w:t>
      </w:r>
    </w:p>
    <w:p w:rsidR="00680BA3" w:rsidRPr="00674F89" w:rsidRDefault="00680BA3" w:rsidP="00680BA3">
      <w:pPr>
        <w:pStyle w:val="Titre1"/>
      </w:pPr>
      <w:r w:rsidRPr="00674F89">
        <w:t>Réaction du fer sur les ions cuivre</w:t>
      </w:r>
    </w:p>
    <w:p w:rsidR="00680BA3" w:rsidRPr="00674F89" w:rsidRDefault="00680BA3" w:rsidP="00103985">
      <w:pPr>
        <w:pStyle w:val="Titre2"/>
        <w:rPr>
          <w:lang w:eastAsia="fr-FR"/>
        </w:rPr>
      </w:pPr>
      <w:r w:rsidRPr="00674F89">
        <w:rPr>
          <w:lang w:eastAsia="fr-FR"/>
        </w:rPr>
        <w:t>Protocole expérimental (Réaliser)</w:t>
      </w:r>
    </w:p>
    <w:p w:rsidR="00680BA3" w:rsidRPr="00674F89" w:rsidRDefault="00680BA3" w:rsidP="0068322A">
      <w:pPr>
        <w:pStyle w:val="point2"/>
        <w:rPr>
          <w:sz w:val="24"/>
          <w:szCs w:val="24"/>
          <w:lang w:eastAsia="fr-FR"/>
        </w:rPr>
      </w:pPr>
      <w:r w:rsidRPr="00674F89">
        <w:rPr>
          <w:lang w:eastAsia="fr-FR"/>
        </w:rPr>
        <w:t>Dans un tube à essais, verser une pointe de spatule de poudre de fer Fe</w:t>
      </w:r>
      <w:r w:rsidRPr="00674F89">
        <w:rPr>
          <w:vertAlign w:val="subscript"/>
          <w:lang w:eastAsia="fr-FR"/>
        </w:rPr>
        <w:t>(s)</w:t>
      </w:r>
      <w:r w:rsidRPr="00674F89">
        <w:rPr>
          <w:lang w:eastAsia="fr-FR"/>
        </w:rPr>
        <w:t>.</w:t>
      </w:r>
    </w:p>
    <w:p w:rsidR="00680BA3" w:rsidRPr="00674F89" w:rsidRDefault="00680BA3" w:rsidP="0068322A">
      <w:pPr>
        <w:pStyle w:val="point2"/>
        <w:rPr>
          <w:sz w:val="24"/>
          <w:szCs w:val="24"/>
          <w:lang w:eastAsia="fr-FR"/>
        </w:rPr>
      </w:pPr>
      <w:r w:rsidRPr="00674F89">
        <w:rPr>
          <w:lang w:eastAsia="fr-FR"/>
        </w:rPr>
        <w:t>Ajouter environ 5 mL de solution de sulfate de cuivre II (Cu</w:t>
      </w:r>
      <w:r w:rsidRPr="00674F89">
        <w:rPr>
          <w:vertAlign w:val="superscript"/>
          <w:lang w:eastAsia="fr-FR"/>
        </w:rPr>
        <w:t>2+</w:t>
      </w:r>
      <w:r w:rsidRPr="00674F89">
        <w:rPr>
          <w:vertAlign w:val="subscript"/>
          <w:lang w:eastAsia="fr-FR"/>
        </w:rPr>
        <w:t>(aq)</w:t>
      </w:r>
      <w:r w:rsidRPr="00674F89">
        <w:rPr>
          <w:lang w:eastAsia="fr-FR"/>
        </w:rPr>
        <w:t xml:space="preserve"> + SO</w:t>
      </w:r>
      <w:r w:rsidRPr="00674F89">
        <w:rPr>
          <w:vertAlign w:val="subscript"/>
          <w:lang w:eastAsia="fr-FR"/>
        </w:rPr>
        <w:t>4</w:t>
      </w:r>
      <w:r w:rsidRPr="00674F89">
        <w:rPr>
          <w:vertAlign w:val="superscript"/>
          <w:lang w:eastAsia="fr-FR"/>
        </w:rPr>
        <w:t>2-</w:t>
      </w:r>
      <w:r w:rsidRPr="00674F89">
        <w:rPr>
          <w:vertAlign w:val="subscript"/>
          <w:lang w:eastAsia="fr-FR"/>
        </w:rPr>
        <w:t>(aq)</w:t>
      </w:r>
      <w:r w:rsidRPr="00674F89">
        <w:rPr>
          <w:lang w:eastAsia="fr-FR"/>
        </w:rPr>
        <w:t>).</w:t>
      </w:r>
    </w:p>
    <w:p w:rsidR="00680BA3" w:rsidRPr="00674F89" w:rsidRDefault="00680BA3" w:rsidP="0068322A">
      <w:pPr>
        <w:pStyle w:val="point2"/>
        <w:rPr>
          <w:sz w:val="24"/>
          <w:szCs w:val="24"/>
          <w:lang w:eastAsia="fr-FR"/>
        </w:rPr>
      </w:pPr>
      <w:r w:rsidRPr="00674F89">
        <w:rPr>
          <w:lang w:eastAsia="fr-FR"/>
        </w:rPr>
        <w:t>Boucher et agiter vigoureusement jusqu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 xml:space="preserve">à décoloration. </w:t>
      </w:r>
    </w:p>
    <w:p w:rsidR="00680BA3" w:rsidRPr="00674F89" w:rsidRDefault="00680BA3" w:rsidP="0068322A">
      <w:pPr>
        <w:pStyle w:val="point2"/>
        <w:rPr>
          <w:sz w:val="24"/>
          <w:szCs w:val="24"/>
          <w:lang w:eastAsia="fr-FR"/>
        </w:rPr>
      </w:pPr>
      <w:r w:rsidRPr="00674F89">
        <w:rPr>
          <w:lang w:eastAsia="fr-FR"/>
        </w:rPr>
        <w:t>Filtrer.</w:t>
      </w:r>
    </w:p>
    <w:p w:rsidR="00680BA3" w:rsidRPr="00674F89" w:rsidRDefault="00680BA3" w:rsidP="00680BA3">
      <w:pPr>
        <w:pStyle w:val="Titre2"/>
        <w:rPr>
          <w:lang w:eastAsia="fr-FR"/>
        </w:rPr>
      </w:pPr>
      <w:r w:rsidRPr="00674F89">
        <w:rPr>
          <w:lang w:eastAsia="fr-FR"/>
        </w:rPr>
        <w:t>Questions (Analyser)</w:t>
      </w:r>
    </w:p>
    <w:p w:rsidR="00805AF8" w:rsidRPr="00674F89" w:rsidRDefault="00680BA3" w:rsidP="00A6410A">
      <w:pPr>
        <w:pStyle w:val="Titre3"/>
      </w:pPr>
      <w:r w:rsidRPr="00674F89">
        <w:rPr>
          <w:lang w:eastAsia="fr-FR"/>
        </w:rPr>
        <w:t>Que nous apprend la couleur du filtrat sur la composition de cette solution ? Et celle du solide ?</w:t>
      </w:r>
      <w:r w:rsidR="00805AF8" w:rsidRPr="00674F89">
        <w:rPr>
          <w:lang w:eastAsia="fr-FR"/>
        </w:rPr>
        <w:br/>
      </w:r>
      <w:r w:rsidR="00805AF8" w:rsidRPr="00674F89">
        <w:t>Verser dans le filtrat un peu de solution d</w:t>
      </w:r>
      <w:r w:rsidR="00674F89" w:rsidRPr="00674F89">
        <w:t>’</w:t>
      </w:r>
      <w:r w:rsidR="00805AF8" w:rsidRPr="00674F89">
        <w:t>hydroxyde de sodium (ou solution de soude) jusqu</w:t>
      </w:r>
      <w:r w:rsidR="00674F89" w:rsidRPr="00674F89">
        <w:t>’</w:t>
      </w:r>
      <w:r w:rsidR="00805AF8" w:rsidRPr="00674F89">
        <w:t>à apparition d</w:t>
      </w:r>
      <w:r w:rsidR="00674F89" w:rsidRPr="00674F89">
        <w:t>’</w:t>
      </w:r>
      <w:r w:rsidR="00805AF8" w:rsidRPr="00674F89">
        <w:t>un précipité.</w:t>
      </w:r>
    </w:p>
    <w:p w:rsidR="00805AF8" w:rsidRPr="00674F89" w:rsidRDefault="00805AF8" w:rsidP="00805AF8">
      <w:pPr>
        <w:pStyle w:val="Titre3"/>
      </w:pPr>
      <w:r w:rsidRPr="00674F89">
        <w:t xml:space="preserve">Quels sont les ions mis en évidence lors de ce test ? </w:t>
      </w:r>
    </w:p>
    <w:p w:rsidR="00146724" w:rsidRPr="00674F89" w:rsidRDefault="00805AF8" w:rsidP="001954B4">
      <w:pPr>
        <w:pStyle w:val="Titre3"/>
      </w:pPr>
      <w:r w:rsidRPr="00674F89">
        <w:t>Donner une explication.</w:t>
      </w:r>
    </w:p>
    <w:p w:rsidR="0068322A" w:rsidRPr="00674F89" w:rsidRDefault="0068322A" w:rsidP="0068322A">
      <w:pPr>
        <w:pStyle w:val="point2"/>
      </w:pPr>
      <w:r w:rsidRPr="00674F89">
        <w:t>D</w:t>
      </w:r>
      <w:r w:rsidR="00674F89" w:rsidRPr="00674F89">
        <w:t>’</w:t>
      </w:r>
      <w:r w:rsidRPr="00674F89">
        <w:t>une façon générale, le transfert d</w:t>
      </w:r>
      <w:r w:rsidR="00674F89" w:rsidRPr="00674F89">
        <w:t>’</w:t>
      </w:r>
      <w:r w:rsidRPr="00674F89">
        <w:t>électrons d</w:t>
      </w:r>
      <w:r w:rsidR="00674F89" w:rsidRPr="00674F89">
        <w:t>’</w:t>
      </w:r>
      <w:r w:rsidRPr="00674F89">
        <w:t xml:space="preserve">un couple oxydant/réducteur est représenté par une </w:t>
      </w:r>
      <w:r w:rsidRPr="00674F89">
        <w:rPr>
          <w:b/>
          <w:bCs/>
        </w:rPr>
        <w:t>demi-équation électronique</w:t>
      </w:r>
      <w:r w:rsidRPr="00674F89">
        <w:t xml:space="preserve"> : </w:t>
      </w:r>
      <w:r w:rsidRPr="00674F89">
        <w:rPr>
          <w:b/>
          <w:bCs/>
        </w:rPr>
        <w:t>oxydant + n e</w:t>
      </w:r>
      <w:r w:rsidRPr="00674F89">
        <w:rPr>
          <w:b/>
          <w:bCs/>
          <w:vertAlign w:val="superscript"/>
        </w:rPr>
        <w:t>–</w:t>
      </w:r>
      <w:r w:rsidRPr="00674F89">
        <w:rPr>
          <w:b/>
          <w:bCs/>
        </w:rPr>
        <w:t xml:space="preserve"> = réducteur</w:t>
      </w:r>
    </w:p>
    <w:p w:rsidR="0068322A" w:rsidRPr="00674F89" w:rsidRDefault="0068322A" w:rsidP="00103985">
      <w:pPr>
        <w:pStyle w:val="Titre3"/>
      </w:pPr>
      <w:r w:rsidRPr="00674F89">
        <w:t>Indiquer les deux couples oxydant/réducteur ainsi que la demi-équation électronique associée à chaque couple.</w:t>
      </w:r>
    </w:p>
    <w:p w:rsidR="0068322A" w:rsidRPr="00674F89" w:rsidRDefault="00DD251F" w:rsidP="00DD251F">
      <w:pPr>
        <w:pStyle w:val="Titre2"/>
      </w:pPr>
      <w:r w:rsidRPr="00674F89">
        <w:t>Equation-bilan</w:t>
      </w:r>
    </w:p>
    <w:p w:rsidR="00AB4755" w:rsidRPr="00674F89" w:rsidRDefault="00AB4755" w:rsidP="00AB4755">
      <w:pPr>
        <w:pStyle w:val="Titre3"/>
        <w:rPr>
          <w:lang w:eastAsia="fr-FR"/>
        </w:rPr>
      </w:pPr>
      <w:r w:rsidRPr="00674F89">
        <w:t>Equilibrer l</w:t>
      </w:r>
      <w:r w:rsidR="00674F89" w:rsidRPr="00674F89">
        <w:t>’</w:t>
      </w:r>
      <w:r w:rsidRPr="00674F89">
        <w:t>équation bilan modélisant la réaction entre les ions cuivre II et le fer solide</w:t>
      </w:r>
    </w:p>
    <w:p w:rsidR="00AB4755" w:rsidRPr="00674F89" w:rsidRDefault="00AB4755" w:rsidP="00AB4755">
      <w:pPr>
        <w:pStyle w:val="point2"/>
        <w:rPr>
          <w:rFonts w:ascii="Linux Biolinum G" w:hAnsi="Linux Biolinum G" w:cs="Linux Biolinum G"/>
          <w:lang w:eastAsia="fr-FR"/>
        </w:rPr>
      </w:pPr>
      <w:r w:rsidRPr="00674F89">
        <w:rPr>
          <w:i/>
          <w:iCs/>
          <w:lang w:eastAsia="fr-FR"/>
        </w:rPr>
        <w:t>Aide</w:t>
      </w:r>
      <w:r w:rsidRPr="00674F89">
        <w:rPr>
          <w:lang w:eastAsia="fr-FR"/>
        </w:rPr>
        <w:t xml:space="preserve"> : </w:t>
      </w:r>
      <w:r w:rsidR="00EE099E" w:rsidRPr="00674F89">
        <w:rPr>
          <w:lang w:eastAsia="fr-FR"/>
        </w:rPr>
        <w:t>Méthode pour équilibrer une demi-équation d</w:t>
      </w:r>
      <w:r w:rsidR="00674F89" w:rsidRPr="00674F89">
        <w:rPr>
          <w:lang w:eastAsia="fr-FR"/>
        </w:rPr>
        <w:t>’</w:t>
      </w:r>
      <w:r w:rsidR="00EE099E" w:rsidRPr="00674F89">
        <w:rPr>
          <w:lang w:eastAsia="fr-FR"/>
        </w:rPr>
        <w:t>oxydoréduction</w:t>
      </w:r>
    </w:p>
    <w:p w:rsidR="00DD251F" w:rsidRPr="00674F89" w:rsidRDefault="00752408" w:rsidP="00752408">
      <w:pPr>
        <w:pStyle w:val="Titre1"/>
      </w:pPr>
      <w:r w:rsidRPr="00674F89">
        <w:lastRenderedPageBreak/>
        <w:t>Applications</w:t>
      </w:r>
    </w:p>
    <w:p w:rsidR="00752408" w:rsidRPr="00674F89" w:rsidRDefault="00752408" w:rsidP="00752408">
      <w:pPr>
        <w:pStyle w:val="point1"/>
        <w:rPr>
          <w:noProof w:val="0"/>
          <w:lang w:eastAsia="fr-FR"/>
        </w:rPr>
      </w:pPr>
      <w:r w:rsidRPr="00674F89">
        <w:rPr>
          <w:noProof w:val="0"/>
        </w:rPr>
        <w:t>Nous allons étudier plusieurs réactions d</w:t>
      </w:r>
      <w:r w:rsidR="00674F89" w:rsidRPr="00674F89">
        <w:rPr>
          <w:noProof w:val="0"/>
        </w:rPr>
        <w:t>’</w:t>
      </w:r>
      <w:r w:rsidRPr="00674F89">
        <w:rPr>
          <w:noProof w:val="0"/>
        </w:rPr>
        <w:t>oxydo-réduction pour lesquelles nous comparerons l</w:t>
      </w:r>
      <w:r w:rsidR="00674F89" w:rsidRPr="00674F89">
        <w:rPr>
          <w:noProof w:val="0"/>
        </w:rPr>
        <w:t>’</w:t>
      </w:r>
      <w:r w:rsidRPr="00674F89">
        <w:rPr>
          <w:noProof w:val="0"/>
        </w:rPr>
        <w:t>équation bilan avec l</w:t>
      </w:r>
      <w:r w:rsidR="00674F89" w:rsidRPr="00674F89">
        <w:rPr>
          <w:noProof w:val="0"/>
        </w:rPr>
        <w:t>’</w:t>
      </w:r>
      <w:r w:rsidRPr="00674F89">
        <w:rPr>
          <w:noProof w:val="0"/>
        </w:rPr>
        <w:t>expérience.</w:t>
      </w:r>
    </w:p>
    <w:p w:rsidR="00752408" w:rsidRPr="00674F89" w:rsidRDefault="00752408" w:rsidP="00752408">
      <w:pPr>
        <w:pStyle w:val="Titre2"/>
      </w:pPr>
      <w:r w:rsidRPr="00674F89">
        <w:t xml:space="preserve">Action des ions </w:t>
      </w:r>
      <w:r w:rsidR="00674F89" w:rsidRPr="00674F89">
        <w:t>peroxodisulfate</w:t>
      </w:r>
      <w:r w:rsidRPr="00674F89">
        <w:t xml:space="preserve"> S</w:t>
      </w:r>
      <w:r w:rsidRPr="00674F89">
        <w:rPr>
          <w:vertAlign w:val="subscript"/>
        </w:rPr>
        <w:t>2</w:t>
      </w:r>
      <w:r w:rsidRPr="00674F89">
        <w:t>O</w:t>
      </w:r>
      <w:r w:rsidRPr="00674F89">
        <w:rPr>
          <w:vertAlign w:val="subscript"/>
        </w:rPr>
        <w:t>8</w:t>
      </w:r>
      <w:r w:rsidRPr="00674F89">
        <w:rPr>
          <w:vertAlign w:val="superscript"/>
        </w:rPr>
        <w:t>2-</w:t>
      </w:r>
      <w:r w:rsidRPr="00674F89">
        <w:t xml:space="preserve"> sur les ions iodure I</w:t>
      </w:r>
      <w:r w:rsidRPr="00674F89">
        <w:rPr>
          <w:vertAlign w:val="superscript"/>
        </w:rPr>
        <w:t>-</w:t>
      </w:r>
      <w:r w:rsidRPr="00674F89">
        <w:t xml:space="preserve"> </w:t>
      </w:r>
      <w:r w:rsidRPr="00674F89">
        <w:rPr>
          <w:i/>
          <w:iCs/>
        </w:rPr>
        <w:t>(Réaliser-Analyser)</w:t>
      </w:r>
    </w:p>
    <w:p w:rsidR="00752408" w:rsidRPr="00674F89" w:rsidRDefault="00752408" w:rsidP="00752408">
      <w:pPr>
        <w:pStyle w:val="point2"/>
        <w:rPr>
          <w:rFonts w:ascii="Linux Biolinum G" w:hAnsi="Linux Biolinum G" w:cs="Linux Biolinum G"/>
        </w:rPr>
      </w:pPr>
      <w:r w:rsidRPr="00674F89">
        <w:t>Verser dans un tube à essais environ 2 mL de solution d</w:t>
      </w:r>
      <w:r w:rsidR="00674F89" w:rsidRPr="00674F89">
        <w:t>’</w:t>
      </w:r>
      <w:r w:rsidRPr="00674F89">
        <w:t>iodure de potassium. Y ajouter environ 2 mL d</w:t>
      </w:r>
      <w:r w:rsidR="00674F89" w:rsidRPr="00674F89">
        <w:t>’</w:t>
      </w:r>
      <w:r w:rsidRPr="00674F89">
        <w:t>une solution de peroxodisulfate de potassium (2 K</w:t>
      </w:r>
      <w:r w:rsidRPr="00674F89">
        <w:rPr>
          <w:vertAlign w:val="superscript"/>
        </w:rPr>
        <w:t>+</w:t>
      </w:r>
      <w:r w:rsidRPr="00674F89">
        <w:rPr>
          <w:vertAlign w:val="subscript"/>
        </w:rPr>
        <w:t>(aq)</w:t>
      </w:r>
      <w:r w:rsidRPr="00674F89">
        <w:t xml:space="preserve"> + S</w:t>
      </w:r>
      <w:r w:rsidRPr="00674F89">
        <w:rPr>
          <w:vertAlign w:val="subscript"/>
        </w:rPr>
        <w:t>2</w:t>
      </w:r>
      <w:r w:rsidRPr="00674F89">
        <w:t>O</w:t>
      </w:r>
      <w:r w:rsidRPr="00674F89">
        <w:rPr>
          <w:vertAlign w:val="subscript"/>
        </w:rPr>
        <w:t>8</w:t>
      </w:r>
      <w:r w:rsidRPr="00674F89">
        <w:rPr>
          <w:vertAlign w:val="superscript"/>
        </w:rPr>
        <w:t>2-</w:t>
      </w:r>
      <w:r w:rsidRPr="00674F89">
        <w:rPr>
          <w:vertAlign w:val="subscript"/>
        </w:rPr>
        <w:t>(aq)</w:t>
      </w:r>
      <w:r w:rsidRPr="00674F89">
        <w:t>).</w:t>
      </w:r>
    </w:p>
    <w:p w:rsidR="00752408" w:rsidRPr="00674F89" w:rsidRDefault="00752408" w:rsidP="00752408">
      <w:pPr>
        <w:pStyle w:val="point2"/>
      </w:pPr>
      <w:r w:rsidRPr="00674F89">
        <w:t>Homogénéiser, puis répartir dans deux tubes à essais.</w:t>
      </w:r>
    </w:p>
    <w:p w:rsidR="00752408" w:rsidRPr="00674F89" w:rsidRDefault="00752408" w:rsidP="00752408">
      <w:pPr>
        <w:pStyle w:val="Titre3"/>
        <w:rPr>
          <w:lang w:eastAsia="fr-FR"/>
        </w:rPr>
      </w:pPr>
      <w:r w:rsidRPr="00674F89">
        <w:t>Dans l</w:t>
      </w:r>
      <w:r w:rsidR="00674F89" w:rsidRPr="00674F89">
        <w:t>’</w:t>
      </w:r>
      <w:r w:rsidRPr="00674F89">
        <w:t>un des tubes, ajouter 1 mL de cyclohexane, boucher et agiter. Observer et conclure.</w:t>
      </w:r>
    </w:p>
    <w:p w:rsidR="00752408" w:rsidRPr="00674F89" w:rsidRDefault="00752408" w:rsidP="00752408">
      <w:pPr>
        <w:pStyle w:val="Titre3"/>
        <w:rPr>
          <w:lang w:eastAsia="fr-FR"/>
        </w:rPr>
      </w:pPr>
      <w:r w:rsidRPr="00674F89">
        <w:t>Dans l</w:t>
      </w:r>
      <w:r w:rsidR="00674F89" w:rsidRPr="00674F89">
        <w:t>’</w:t>
      </w:r>
      <w:r w:rsidRPr="00674F89">
        <w:t>autre tube, ajouter une solution de chlorure de baryum (Ba</w:t>
      </w:r>
      <w:r w:rsidRPr="00674F89">
        <w:rPr>
          <w:vertAlign w:val="superscript"/>
        </w:rPr>
        <w:t>2+</w:t>
      </w:r>
      <w:r w:rsidRPr="00674F89">
        <w:rPr>
          <w:vertAlign w:val="subscript"/>
        </w:rPr>
        <w:t>(aq)</w:t>
      </w:r>
      <w:r w:rsidRPr="00674F89">
        <w:t xml:space="preserve"> + 2 Cℓ</w:t>
      </w:r>
      <w:r w:rsidRPr="00674F89">
        <w:rPr>
          <w:vertAlign w:val="superscript"/>
        </w:rPr>
        <w:t>-</w:t>
      </w:r>
      <w:r w:rsidRPr="00674F89">
        <w:rPr>
          <w:vertAlign w:val="subscript"/>
        </w:rPr>
        <w:t>(aq)</w:t>
      </w:r>
      <w:r w:rsidRPr="00674F89">
        <w:t>) jusqu</w:t>
      </w:r>
      <w:r w:rsidR="00674F89" w:rsidRPr="00674F89">
        <w:t>’</w:t>
      </w:r>
      <w:r w:rsidRPr="00674F89">
        <w:t>à l</w:t>
      </w:r>
      <w:r w:rsidR="00674F89" w:rsidRPr="00674F89">
        <w:t>’</w:t>
      </w:r>
      <w:r w:rsidRPr="00674F89">
        <w:t>apparition d</w:t>
      </w:r>
      <w:r w:rsidR="00674F89" w:rsidRPr="00674F89">
        <w:t>’</w:t>
      </w:r>
      <w:r w:rsidRPr="00674F89">
        <w:t>un précipité caractéristique. Observer et conclure sachant que les ions baryum précipitent au contact des ions sulfate.</w:t>
      </w:r>
    </w:p>
    <w:p w:rsidR="00752408" w:rsidRPr="00674F89" w:rsidRDefault="00752408" w:rsidP="00752408">
      <w:pPr>
        <w:pStyle w:val="Titre3"/>
        <w:rPr>
          <w:lang w:eastAsia="fr-FR"/>
        </w:rPr>
      </w:pPr>
      <w:r w:rsidRPr="00674F89">
        <w:t xml:space="preserve">Sachant que les couples oxydant/réducteur mis en jeu sont </w:t>
      </w:r>
      <w:r w:rsidR="00D910A7" w:rsidRPr="002128AA">
        <w:rPr>
          <w:rFonts w:eastAsia="Symbol" w:cs="Symbol"/>
          <w:lang w:eastAsia="fr-FR"/>
        </w:rPr>
        <w:t>S</w:t>
      </w:r>
      <w:r w:rsidR="00D910A7" w:rsidRPr="002128AA">
        <w:rPr>
          <w:rFonts w:eastAsia="Symbol" w:cs="Symbol"/>
          <w:vertAlign w:val="subscript"/>
          <w:lang w:eastAsia="fr-FR"/>
        </w:rPr>
        <w:t>2</w:t>
      </w:r>
      <w:r w:rsidR="00D910A7" w:rsidRPr="002128AA">
        <w:rPr>
          <w:rFonts w:eastAsia="Symbol" w:cs="Symbol"/>
          <w:lang w:eastAsia="fr-FR"/>
        </w:rPr>
        <w:t>O</w:t>
      </w:r>
      <w:r w:rsidR="00D910A7" w:rsidRPr="002128AA">
        <w:rPr>
          <w:rFonts w:eastAsia="Symbol" w:cs="Symbol"/>
          <w:vertAlign w:val="subscript"/>
          <w:lang w:eastAsia="fr-FR"/>
        </w:rPr>
        <w:t>8</w:t>
      </w:r>
      <w:r w:rsidR="00D910A7" w:rsidRPr="002128AA">
        <w:rPr>
          <w:rFonts w:eastAsia="Symbol" w:cs="Symbol"/>
          <w:vertAlign w:val="superscript"/>
          <w:lang w:eastAsia="fr-FR"/>
        </w:rPr>
        <w:t>2-</w:t>
      </w:r>
      <w:r w:rsidR="00D910A7" w:rsidRPr="002128AA">
        <w:rPr>
          <w:rFonts w:eastAsia="Symbol" w:cs="Symbol"/>
          <w:vertAlign w:val="subscript"/>
          <w:lang w:eastAsia="fr-FR"/>
        </w:rPr>
        <w:t>(</w:t>
      </w:r>
      <w:proofErr w:type="spellStart"/>
      <w:proofErr w:type="gramStart"/>
      <w:r w:rsidR="00D910A7" w:rsidRPr="002128AA">
        <w:rPr>
          <w:rFonts w:eastAsia="Symbol" w:cs="Symbol"/>
          <w:vertAlign w:val="subscript"/>
          <w:lang w:eastAsia="fr-FR"/>
        </w:rPr>
        <w:t>aq</w:t>
      </w:r>
      <w:proofErr w:type="spellEnd"/>
      <w:r w:rsidR="00D910A7" w:rsidRPr="002128AA">
        <w:rPr>
          <w:rFonts w:eastAsia="Symbol" w:cs="Symbol"/>
          <w:vertAlign w:val="subscript"/>
          <w:lang w:eastAsia="fr-FR"/>
        </w:rPr>
        <w:t>)</w:t>
      </w:r>
      <w:r w:rsidRPr="00674F89">
        <w:t>/</w:t>
      </w:r>
      <w:proofErr w:type="gramEnd"/>
      <w:r w:rsidR="00D910A7" w:rsidRPr="006D10BC">
        <w:rPr>
          <w:rFonts w:eastAsia="Symbol" w:cs="Symbol"/>
        </w:rPr>
        <w:t>SO</w:t>
      </w:r>
      <w:r w:rsidR="00D910A7" w:rsidRPr="006D10BC">
        <w:rPr>
          <w:rFonts w:eastAsia="Symbol" w:cs="Symbol"/>
          <w:vertAlign w:val="subscript"/>
        </w:rPr>
        <w:t>4</w:t>
      </w:r>
      <w:r w:rsidR="00D910A7" w:rsidRPr="006D10BC">
        <w:rPr>
          <w:rFonts w:eastAsia="Symbol" w:cs="Symbol"/>
          <w:vertAlign w:val="superscript"/>
        </w:rPr>
        <w:t>2-</w:t>
      </w:r>
      <w:r w:rsidR="00D910A7" w:rsidRPr="006D10BC">
        <w:rPr>
          <w:rFonts w:eastAsia="Symbol" w:cs="Symbol"/>
          <w:vertAlign w:val="subscript"/>
        </w:rPr>
        <w:t>(</w:t>
      </w:r>
      <w:proofErr w:type="spellStart"/>
      <w:r w:rsidR="00D910A7" w:rsidRPr="006D10BC">
        <w:rPr>
          <w:rFonts w:eastAsia="Symbol" w:cs="Symbol"/>
          <w:vertAlign w:val="subscript"/>
        </w:rPr>
        <w:t>aq</w:t>
      </w:r>
      <w:proofErr w:type="spellEnd"/>
      <w:r w:rsidR="00D910A7" w:rsidRPr="006D10BC">
        <w:rPr>
          <w:rFonts w:eastAsia="Symbol" w:cs="Symbol"/>
          <w:vertAlign w:val="subscript"/>
        </w:rPr>
        <w:t>)</w:t>
      </w:r>
      <w:r w:rsidRPr="00674F89">
        <w:t xml:space="preserve"> et </w:t>
      </w:r>
      <w:r w:rsidR="00D910A7" w:rsidRPr="0076525F">
        <w:rPr>
          <w:color w:val="000000"/>
          <w:lang w:eastAsia="fr-FR"/>
        </w:rPr>
        <w:t>I</w:t>
      </w:r>
      <w:r w:rsidR="00D910A7" w:rsidRPr="0076525F">
        <w:rPr>
          <w:color w:val="000000"/>
          <w:vertAlign w:val="subscript"/>
          <w:lang w:eastAsia="fr-FR"/>
        </w:rPr>
        <w:t>2</w:t>
      </w:r>
      <w:r w:rsidR="00D910A7" w:rsidRPr="0076525F">
        <w:t xml:space="preserve"> </w:t>
      </w:r>
      <w:r w:rsidR="00D910A7" w:rsidRPr="0076525F">
        <w:rPr>
          <w:vertAlign w:val="subscript"/>
        </w:rPr>
        <w:t>(</w:t>
      </w:r>
      <w:proofErr w:type="spellStart"/>
      <w:r w:rsidR="00D910A7" w:rsidRPr="0076525F">
        <w:rPr>
          <w:vertAlign w:val="subscript"/>
        </w:rPr>
        <w:t>aq</w:t>
      </w:r>
      <w:proofErr w:type="spellEnd"/>
      <w:r w:rsidR="00D910A7" w:rsidRPr="0076525F">
        <w:rPr>
          <w:vertAlign w:val="subscript"/>
        </w:rPr>
        <w:t>)</w:t>
      </w:r>
      <w:r w:rsidRPr="00674F89">
        <w:t>/</w:t>
      </w:r>
      <w:r w:rsidR="00D910A7" w:rsidRPr="00EA7F37">
        <w:t>I</w:t>
      </w:r>
      <w:r w:rsidR="00D910A7" w:rsidRPr="00EA7F37">
        <w:rPr>
          <w:vertAlign w:val="superscript"/>
        </w:rPr>
        <w:t>-</w:t>
      </w:r>
      <w:r w:rsidR="00D910A7" w:rsidRPr="00EA7F37">
        <w:rPr>
          <w:vertAlign w:val="subscript"/>
        </w:rPr>
        <w:t>(</w:t>
      </w:r>
      <w:proofErr w:type="spellStart"/>
      <w:r w:rsidR="00D910A7" w:rsidRPr="00EA7F37">
        <w:rPr>
          <w:vertAlign w:val="subscript"/>
        </w:rPr>
        <w:t>aq</w:t>
      </w:r>
      <w:proofErr w:type="spellEnd"/>
      <w:r w:rsidR="00D910A7" w:rsidRPr="00EA7F37">
        <w:rPr>
          <w:vertAlign w:val="subscript"/>
        </w:rPr>
        <w:t>)</w:t>
      </w:r>
      <w:bookmarkStart w:id="1" w:name="_GoBack"/>
      <w:bookmarkEnd w:id="1"/>
      <w:r w:rsidR="00674F89" w:rsidRPr="00674F89">
        <w:t>,</w:t>
      </w:r>
      <w:r w:rsidRPr="00674F89">
        <w:t xml:space="preserve"> écrire la demi-équation électronique de chaque couple puis l</w:t>
      </w:r>
      <w:r w:rsidR="00674F89" w:rsidRPr="00674F89">
        <w:t>’</w:t>
      </w:r>
      <w:r w:rsidRPr="00674F89">
        <w:t>équation bilan.</w:t>
      </w:r>
    </w:p>
    <w:p w:rsidR="00752408" w:rsidRPr="00674F89" w:rsidRDefault="00752408" w:rsidP="00752408">
      <w:pPr>
        <w:pStyle w:val="Titre3"/>
        <w:rPr>
          <w:lang w:eastAsia="fr-FR"/>
        </w:rPr>
      </w:pPr>
      <w:r w:rsidRPr="00674F89">
        <w:t>L</w:t>
      </w:r>
      <w:r w:rsidR="00674F89" w:rsidRPr="00674F89">
        <w:t>’</w:t>
      </w:r>
      <w:r w:rsidRPr="00674F89">
        <w:t>équation obtenue est-elle en accord avec les observations ? Justifier.</w:t>
      </w:r>
    </w:p>
    <w:p w:rsidR="005C7FBE" w:rsidRPr="00674F89" w:rsidRDefault="005C7FBE" w:rsidP="005C7FBE">
      <w:pPr>
        <w:pStyle w:val="Titre2"/>
        <w:rPr>
          <w:lang w:eastAsia="fr-FR"/>
        </w:rPr>
      </w:pPr>
      <w:r w:rsidRPr="00674F89">
        <w:t>Action d</w:t>
      </w:r>
      <w:r w:rsidR="00674F89" w:rsidRPr="00674F89">
        <w:t>’</w:t>
      </w:r>
      <w:r w:rsidRPr="00674F89">
        <w:t>une solution acidifiée d</w:t>
      </w:r>
      <w:r w:rsidR="00674F89" w:rsidRPr="00674F89">
        <w:t>’</w:t>
      </w:r>
      <w:r w:rsidRPr="00674F89">
        <w:t>ions permanganate MnO</w:t>
      </w:r>
      <w:r w:rsidRPr="00674F89">
        <w:rPr>
          <w:vertAlign w:val="subscript"/>
        </w:rPr>
        <w:t>4</w:t>
      </w:r>
      <w:r w:rsidRPr="00674F89">
        <w:rPr>
          <w:vertAlign w:val="superscript"/>
        </w:rPr>
        <w:t>-</w:t>
      </w:r>
      <w:r w:rsidRPr="00674F89">
        <w:t xml:space="preserve"> sur les ions ferreux Fe</w:t>
      </w:r>
      <w:r w:rsidRPr="00674F89">
        <w:rPr>
          <w:vertAlign w:val="superscript"/>
        </w:rPr>
        <w:t>2+</w:t>
      </w:r>
      <w:r w:rsidRPr="00674F89">
        <w:t xml:space="preserve"> </w:t>
      </w:r>
      <w:r w:rsidRPr="00674F89">
        <w:rPr>
          <w:i/>
          <w:iCs/>
        </w:rPr>
        <w:t>(Réaliser-Analyser)</w:t>
      </w:r>
    </w:p>
    <w:p w:rsidR="005C7FBE" w:rsidRPr="00674F89" w:rsidRDefault="005C7FBE" w:rsidP="005C7FBE">
      <w:pPr>
        <w:pStyle w:val="point2"/>
        <w:rPr>
          <w:rFonts w:ascii="Linux Biolinum G" w:hAnsi="Linux Biolinum G" w:cs="Linux Biolinum G"/>
        </w:rPr>
      </w:pPr>
      <w:r w:rsidRPr="00674F89">
        <w:t>Verser dans un tube à essais environ 1 mL d</w:t>
      </w:r>
      <w:r w:rsidR="00674F89" w:rsidRPr="00674F89">
        <w:t>’</w:t>
      </w:r>
      <w:r w:rsidRPr="00674F89">
        <w:t>une solution de permanganate de potassium (K</w:t>
      </w:r>
      <w:r w:rsidRPr="00674F89">
        <w:rPr>
          <w:vertAlign w:val="superscript"/>
        </w:rPr>
        <w:t>+</w:t>
      </w:r>
      <w:r w:rsidRPr="00674F89">
        <w:rPr>
          <w:vertAlign w:val="subscript"/>
        </w:rPr>
        <w:t>(aq)</w:t>
      </w:r>
      <w:r w:rsidRPr="00674F89">
        <w:t xml:space="preserve"> + MnO</w:t>
      </w:r>
      <w:r w:rsidRPr="00674F89">
        <w:rPr>
          <w:vertAlign w:val="subscript"/>
        </w:rPr>
        <w:t>4</w:t>
      </w:r>
      <w:r w:rsidRPr="00674F89">
        <w:rPr>
          <w:vertAlign w:val="superscript"/>
        </w:rPr>
        <w:t>-</w:t>
      </w:r>
      <w:r w:rsidRPr="00674F89">
        <w:rPr>
          <w:vertAlign w:val="subscript"/>
        </w:rPr>
        <w:t>(aq)</w:t>
      </w:r>
      <w:r w:rsidRPr="00674F89">
        <w:t>), puis quelques gouttes d</w:t>
      </w:r>
      <w:r w:rsidR="00674F89" w:rsidRPr="00674F89">
        <w:t>’</w:t>
      </w:r>
      <w:r w:rsidRPr="00674F89">
        <w:t>acide sulfurique.</w:t>
      </w:r>
    </w:p>
    <w:p w:rsidR="005C7FBE" w:rsidRPr="00674F89" w:rsidRDefault="005C7FBE" w:rsidP="005C7FBE">
      <w:pPr>
        <w:pStyle w:val="point2"/>
      </w:pPr>
      <w:r w:rsidRPr="00674F89">
        <w:t>Y ajouter, goutte à goutte et en agitant, une solution de sulfate de fer II (ou sel de Mohr) jusqu</w:t>
      </w:r>
      <w:r w:rsidR="00674F89" w:rsidRPr="00674F89">
        <w:t>’</w:t>
      </w:r>
      <w:r w:rsidRPr="00674F89">
        <w:t>à décoloration totale de la solution violette (à la goutte près).</w:t>
      </w:r>
    </w:p>
    <w:p w:rsidR="00752408" w:rsidRPr="00674F89" w:rsidRDefault="00752408" w:rsidP="005C7FBE"/>
    <w:p w:rsidR="001000DA" w:rsidRPr="00674F89" w:rsidRDefault="001000DA" w:rsidP="001000DA">
      <w:pPr>
        <w:pStyle w:val="Titre3"/>
        <w:rPr>
          <w:lang w:eastAsia="fr-FR"/>
        </w:rPr>
      </w:pPr>
      <w:r w:rsidRPr="00674F89">
        <w:t>Ajouter de l</w:t>
      </w:r>
      <w:r w:rsidR="00674F89" w:rsidRPr="00674F89">
        <w:t>’</w:t>
      </w:r>
      <w:r w:rsidRPr="00674F89">
        <w:t>hydroxyde de sodium jusqu</w:t>
      </w:r>
      <w:r w:rsidR="00674F89" w:rsidRPr="00674F89">
        <w:t>’</w:t>
      </w:r>
      <w:r w:rsidRPr="00674F89">
        <w:t>à l</w:t>
      </w:r>
      <w:r w:rsidR="00674F89" w:rsidRPr="00674F89">
        <w:t>’</w:t>
      </w:r>
      <w:r w:rsidRPr="00674F89">
        <w:t>apparition d</w:t>
      </w:r>
      <w:r w:rsidR="00674F89" w:rsidRPr="00674F89">
        <w:t>’</w:t>
      </w:r>
      <w:r w:rsidRPr="00674F89">
        <w:t>un précipité caractéristique. Observer et conclure.</w:t>
      </w:r>
    </w:p>
    <w:p w:rsidR="001000DA" w:rsidRPr="00674F89" w:rsidRDefault="001000DA" w:rsidP="001000DA">
      <w:pPr>
        <w:pStyle w:val="Titre3"/>
      </w:pPr>
      <w:r w:rsidRPr="00674F89">
        <w:t>Sachant que les couples oxydant/réducteur mis en jeu sont MnO</w:t>
      </w:r>
      <w:r w:rsidRPr="00674F89">
        <w:rPr>
          <w:vertAlign w:val="subscript"/>
        </w:rPr>
        <w:t>4</w:t>
      </w:r>
      <w:r w:rsidRPr="00674F89">
        <w:rPr>
          <w:vertAlign w:val="superscript"/>
        </w:rPr>
        <w:t>-</w:t>
      </w:r>
      <w:r w:rsidRPr="00674F89">
        <w:rPr>
          <w:vertAlign w:val="subscript"/>
        </w:rPr>
        <w:t>(aq)</w:t>
      </w:r>
      <w:r w:rsidRPr="00674F89">
        <w:t>/Mn</w:t>
      </w:r>
      <w:r w:rsidRPr="00674F89">
        <w:rPr>
          <w:vertAlign w:val="superscript"/>
        </w:rPr>
        <w:t>2+</w:t>
      </w:r>
      <w:r w:rsidRPr="00674F89">
        <w:rPr>
          <w:vertAlign w:val="subscript"/>
        </w:rPr>
        <w:t>(aq)</w:t>
      </w:r>
      <w:r w:rsidRPr="00674F89">
        <w:t xml:space="preserve"> et Fe</w:t>
      </w:r>
      <w:r w:rsidRPr="00674F89">
        <w:rPr>
          <w:vertAlign w:val="superscript"/>
        </w:rPr>
        <w:t>3+</w:t>
      </w:r>
      <w:r w:rsidRPr="00674F89">
        <w:rPr>
          <w:vertAlign w:val="subscript"/>
        </w:rPr>
        <w:t>(aq)</w:t>
      </w:r>
      <w:r w:rsidRPr="00674F89">
        <w:t>/Fe</w:t>
      </w:r>
      <w:r w:rsidRPr="00674F89">
        <w:rPr>
          <w:vertAlign w:val="superscript"/>
        </w:rPr>
        <w:t>2+</w:t>
      </w:r>
      <w:r w:rsidRPr="00674F89">
        <w:rPr>
          <w:vertAlign w:val="subscript"/>
        </w:rPr>
        <w:t>(aq</w:t>
      </w:r>
      <w:r w:rsidR="00674F89" w:rsidRPr="00674F89">
        <w:rPr>
          <w:vertAlign w:val="subscript"/>
        </w:rPr>
        <w:t>)</w:t>
      </w:r>
      <w:r w:rsidR="00674F89" w:rsidRPr="00674F89">
        <w:t>,</w:t>
      </w:r>
      <w:r w:rsidRPr="00674F89">
        <w:t xml:space="preserve"> écrire la demi-équation de chaque couple puis l</w:t>
      </w:r>
      <w:r w:rsidR="00674F89" w:rsidRPr="00674F89">
        <w:t>’</w:t>
      </w:r>
      <w:r w:rsidRPr="00674F89">
        <w:t>équation bilan.</w:t>
      </w:r>
    </w:p>
    <w:p w:rsidR="008D7E8A" w:rsidRPr="00674F89" w:rsidRDefault="008D7E8A" w:rsidP="008D7E8A">
      <w:pPr>
        <w:pStyle w:val="Titre2"/>
        <w:rPr>
          <w:lang w:eastAsia="fr-FR"/>
        </w:rPr>
      </w:pPr>
      <w:r w:rsidRPr="00674F89">
        <w:t>Action des ions ferrique Fe</w:t>
      </w:r>
      <w:r w:rsidRPr="00674F89">
        <w:rPr>
          <w:vertAlign w:val="superscript"/>
        </w:rPr>
        <w:t>3+</w:t>
      </w:r>
      <w:r w:rsidRPr="00674F89">
        <w:t xml:space="preserve"> sur les ions iodure I</w:t>
      </w:r>
      <w:r w:rsidRPr="00674F89">
        <w:rPr>
          <w:vertAlign w:val="superscript"/>
        </w:rPr>
        <w:t>-</w:t>
      </w:r>
      <w:r w:rsidRPr="00674F89">
        <w:t xml:space="preserve"> </w:t>
      </w:r>
      <w:r w:rsidRPr="00674F89">
        <w:rPr>
          <w:i/>
          <w:iCs/>
        </w:rPr>
        <w:t>(Réaliser-Analyser)</w:t>
      </w:r>
    </w:p>
    <w:p w:rsidR="008D7E8A" w:rsidRPr="00674F89" w:rsidRDefault="008D7E8A" w:rsidP="008D7E8A">
      <w:pPr>
        <w:pStyle w:val="point2"/>
        <w:rPr>
          <w:rFonts w:ascii="Linux Biolinum G" w:hAnsi="Linux Biolinum G" w:cs="Linux Biolinum G"/>
        </w:rPr>
      </w:pPr>
      <w:r w:rsidRPr="00674F89">
        <w:t>Verser dans un tube à essais environ 2 mL de solution d</w:t>
      </w:r>
      <w:r w:rsidR="00674F89" w:rsidRPr="00674F89">
        <w:t>’</w:t>
      </w:r>
      <w:r w:rsidRPr="00674F89">
        <w:t>iodure de potassium.</w:t>
      </w:r>
    </w:p>
    <w:p w:rsidR="008D7E8A" w:rsidRPr="00674F89" w:rsidRDefault="008D7E8A" w:rsidP="008D7E8A">
      <w:pPr>
        <w:pStyle w:val="point2"/>
      </w:pPr>
      <w:r w:rsidRPr="00674F89">
        <w:t>Ensuite, ajouter environ 2 mL d</w:t>
      </w:r>
      <w:r w:rsidR="00674F89" w:rsidRPr="00674F89">
        <w:t>’</w:t>
      </w:r>
      <w:r w:rsidRPr="00674F89">
        <w:t>une solution de chlorure de fer III (Fe</w:t>
      </w:r>
      <w:r w:rsidRPr="00674F89">
        <w:rPr>
          <w:vertAlign w:val="superscript"/>
        </w:rPr>
        <w:t>3+</w:t>
      </w:r>
      <w:r w:rsidRPr="00674F89">
        <w:rPr>
          <w:vertAlign w:val="subscript"/>
        </w:rPr>
        <w:t>(aq)</w:t>
      </w:r>
      <w:r w:rsidRPr="00674F89">
        <w:t xml:space="preserve"> + 3 Cℓ</w:t>
      </w:r>
      <w:r w:rsidRPr="00674F89">
        <w:rPr>
          <w:vertAlign w:val="superscript"/>
        </w:rPr>
        <w:t>-</w:t>
      </w:r>
      <w:r w:rsidRPr="00674F89">
        <w:rPr>
          <w:vertAlign w:val="subscript"/>
        </w:rPr>
        <w:t>(aq)</w:t>
      </w:r>
      <w:r w:rsidRPr="00674F89">
        <w:t>). Boucher et agiter.</w:t>
      </w:r>
    </w:p>
    <w:p w:rsidR="005B34D6" w:rsidRPr="00674F89" w:rsidRDefault="005B34D6" w:rsidP="005B34D6">
      <w:pPr>
        <w:pStyle w:val="Titre3"/>
        <w:rPr>
          <w:lang w:eastAsia="fr-FR"/>
        </w:rPr>
      </w:pPr>
      <w:r w:rsidRPr="00674F89">
        <w:t>Qu</w:t>
      </w:r>
      <w:r w:rsidR="00674F89" w:rsidRPr="00674F89">
        <w:t>’</w:t>
      </w:r>
      <w:r w:rsidRPr="00674F89">
        <w:t>observe-t-on ? Ajouter 1 mL de cyclohexane, boucher et agiter. Observer et conclure.</w:t>
      </w:r>
    </w:p>
    <w:p w:rsidR="005B34D6" w:rsidRPr="00674F89" w:rsidRDefault="005B34D6" w:rsidP="005B34D6">
      <w:pPr>
        <w:pStyle w:val="Titre3"/>
        <w:rPr>
          <w:lang w:eastAsia="fr-FR"/>
        </w:rPr>
      </w:pPr>
      <w:r w:rsidRPr="00674F89">
        <w:t>Sachant que les couples oxydant/réducteur sont Fe</w:t>
      </w:r>
      <w:r w:rsidRPr="00674F89">
        <w:rPr>
          <w:vertAlign w:val="superscript"/>
        </w:rPr>
        <w:t>3+</w:t>
      </w:r>
      <w:r w:rsidRPr="00674F89">
        <w:rPr>
          <w:vertAlign w:val="subscript"/>
        </w:rPr>
        <w:t>(aq)</w:t>
      </w:r>
      <w:r w:rsidRPr="00674F89">
        <w:t>/Fe</w:t>
      </w:r>
      <w:r w:rsidRPr="00674F89">
        <w:rPr>
          <w:vertAlign w:val="superscript"/>
        </w:rPr>
        <w:t>2+</w:t>
      </w:r>
      <w:r w:rsidRPr="00674F89">
        <w:rPr>
          <w:vertAlign w:val="subscript"/>
        </w:rPr>
        <w:t>(aq)</w:t>
      </w:r>
      <w:r w:rsidRPr="00674F89">
        <w:t xml:space="preserve"> et I</w:t>
      </w:r>
      <w:r w:rsidRPr="00674F89">
        <w:rPr>
          <w:vertAlign w:val="subscript"/>
        </w:rPr>
        <w:t>2(aq)</w:t>
      </w:r>
      <w:r w:rsidRPr="00674F89">
        <w:t>/I</w:t>
      </w:r>
      <w:r w:rsidRPr="00674F89">
        <w:rPr>
          <w:vertAlign w:val="superscript"/>
        </w:rPr>
        <w:t>-</w:t>
      </w:r>
      <w:r w:rsidRPr="00674F89">
        <w:rPr>
          <w:vertAlign w:val="subscript"/>
        </w:rPr>
        <w:t>(aq)</w:t>
      </w:r>
      <w:r w:rsidRPr="00674F89">
        <w:t>, écrire la demi-équation de chaque couple puis l</w:t>
      </w:r>
      <w:r w:rsidR="00674F89" w:rsidRPr="00674F89">
        <w:t>’</w:t>
      </w:r>
      <w:r w:rsidRPr="00674F89">
        <w:t>équation bilan.</w:t>
      </w:r>
    </w:p>
    <w:p w:rsidR="0073240B" w:rsidRPr="00674F89" w:rsidRDefault="0073240B" w:rsidP="0073240B">
      <w:pPr>
        <w:pStyle w:val="Titre2"/>
        <w:rPr>
          <w:lang w:eastAsia="fr-FR"/>
        </w:rPr>
      </w:pPr>
      <w:r w:rsidRPr="00674F89">
        <w:t xml:space="preserve">Action des ions ferreux sur le métal cuivre </w:t>
      </w:r>
      <w:r w:rsidRPr="00674F89">
        <w:rPr>
          <w:i/>
          <w:iCs/>
        </w:rPr>
        <w:t>(Réaliser-Analyser)</w:t>
      </w:r>
    </w:p>
    <w:p w:rsidR="0073240B" w:rsidRPr="00674F89" w:rsidRDefault="0073240B" w:rsidP="00587010">
      <w:pPr>
        <w:pStyle w:val="point2"/>
        <w:rPr>
          <w:rFonts w:ascii="Linux Biolinum G" w:hAnsi="Linux Biolinum G" w:cs="Linux Biolinum G"/>
        </w:rPr>
      </w:pPr>
      <w:r w:rsidRPr="00674F89">
        <w:t>Placer 2 ou 3 tournures de cuivre métal Cu</w:t>
      </w:r>
      <w:r w:rsidRPr="00674F89">
        <w:rPr>
          <w:vertAlign w:val="subscript"/>
        </w:rPr>
        <w:t>(s)</w:t>
      </w:r>
      <w:r w:rsidRPr="00674F89">
        <w:t xml:space="preserve"> au fond d</w:t>
      </w:r>
      <w:r w:rsidR="00674F89" w:rsidRPr="00674F89">
        <w:t>’</w:t>
      </w:r>
      <w:r w:rsidRPr="00674F89">
        <w:t>un tube à essais.</w:t>
      </w:r>
    </w:p>
    <w:p w:rsidR="0073240B" w:rsidRPr="00674F89" w:rsidRDefault="0073240B" w:rsidP="00587010">
      <w:pPr>
        <w:pStyle w:val="point2"/>
      </w:pPr>
      <w:r w:rsidRPr="00674F89">
        <w:t>Verser dans ce tube environ 3 mL d</w:t>
      </w:r>
      <w:r w:rsidR="00674F89" w:rsidRPr="00674F89">
        <w:t>’</w:t>
      </w:r>
      <w:r w:rsidRPr="00674F89">
        <w:t xml:space="preserve">une solution </w:t>
      </w:r>
      <w:r w:rsidR="00587010" w:rsidRPr="00674F89">
        <w:t xml:space="preserve">du </w:t>
      </w:r>
      <w:r w:rsidRPr="00674F89">
        <w:t>sulfate de fer II (Fe</w:t>
      </w:r>
      <w:r w:rsidRPr="00674F89">
        <w:rPr>
          <w:vertAlign w:val="superscript"/>
        </w:rPr>
        <w:t>2+</w:t>
      </w:r>
      <w:r w:rsidRPr="00674F89">
        <w:rPr>
          <w:vertAlign w:val="subscript"/>
        </w:rPr>
        <w:t>(aq)</w:t>
      </w:r>
      <w:r w:rsidRPr="00674F89">
        <w:t xml:space="preserve"> + 2 SO</w:t>
      </w:r>
      <w:r w:rsidRPr="00674F89">
        <w:rPr>
          <w:vertAlign w:val="subscript"/>
        </w:rPr>
        <w:t>4</w:t>
      </w:r>
      <w:r w:rsidRPr="00674F89">
        <w:rPr>
          <w:vertAlign w:val="superscript"/>
        </w:rPr>
        <w:t>2-</w:t>
      </w:r>
      <w:r w:rsidRPr="00674F89">
        <w:rPr>
          <w:vertAlign w:val="subscript"/>
        </w:rPr>
        <w:t>(aq)</w:t>
      </w:r>
      <w:r w:rsidRPr="00674F89">
        <w:t>)</w:t>
      </w:r>
    </w:p>
    <w:p w:rsidR="00EE6F78" w:rsidRPr="00674F89" w:rsidRDefault="00EE6F78" w:rsidP="00EE6F78">
      <w:pPr>
        <w:pStyle w:val="Titre3"/>
        <w:rPr>
          <w:lang w:eastAsia="fr-FR"/>
        </w:rPr>
      </w:pPr>
      <w:r w:rsidRPr="00674F89">
        <w:t>Filtrer la solution, puis ajouter de l</w:t>
      </w:r>
      <w:r w:rsidR="00674F89" w:rsidRPr="00674F89">
        <w:t>’</w:t>
      </w:r>
      <w:r w:rsidRPr="00674F89">
        <w:t>hydroxyde de sodium. Observer et conclure.</w:t>
      </w:r>
    </w:p>
    <w:p w:rsidR="00EE6F78" w:rsidRPr="00674F89" w:rsidRDefault="00EE6F78" w:rsidP="00EE6F78">
      <w:pPr>
        <w:pStyle w:val="Titre3"/>
      </w:pPr>
      <w:r w:rsidRPr="00674F89">
        <w:t>Proposer une explication</w:t>
      </w:r>
    </w:p>
    <w:p w:rsidR="00EE6F78" w:rsidRPr="00674F89" w:rsidRDefault="00EE6F78" w:rsidP="00EE6F78">
      <w:pPr>
        <w:pStyle w:val="Titre2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 xml:space="preserve">Un pas vers la terminale… </w:t>
      </w:r>
      <w:r w:rsidRPr="00674F89">
        <w:rPr>
          <w:i/>
          <w:iCs/>
          <w:lang w:eastAsia="fr-FR"/>
        </w:rPr>
        <w:t>(Raisonner)</w:t>
      </w:r>
    </w:p>
    <w:p w:rsidR="00EE6F78" w:rsidRPr="00674F89" w:rsidRDefault="00FC27FF" w:rsidP="00EE6F78">
      <w:pPr>
        <w:pStyle w:val="point2"/>
        <w:rPr>
          <w:rFonts w:ascii="Linux Biolinum G" w:hAnsi="Linux Biolinum G" w:cs="Linux Biolinum G"/>
          <w:lang w:eastAsia="fr-FR"/>
        </w:rPr>
      </w:pPr>
      <w:r w:rsidRPr="00674F8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7DDC0B0" wp14:editId="71360AB5">
            <wp:simplePos x="0" y="0"/>
            <wp:positionH relativeFrom="column">
              <wp:posOffset>5196716</wp:posOffset>
            </wp:positionH>
            <wp:positionV relativeFrom="paragraph">
              <wp:posOffset>65380</wp:posOffset>
            </wp:positionV>
            <wp:extent cx="1579245" cy="1737360"/>
            <wp:effectExtent l="0" t="0" r="190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6F78" w:rsidRPr="00674F89">
        <w:rPr>
          <w:lang w:eastAsia="fr-FR"/>
        </w:rPr>
        <w:t>Nous avons vu que seul un oxydant pouvait réagir spontanément avec un réducteur : on dit que la réaction vérifie la « règle du gamma ». Chaque couple oxydant/réducteur est associé à un potentiel</w:t>
      </w:r>
      <w:r w:rsidR="00EE099E" w:rsidRPr="00674F89">
        <w:rPr>
          <w:lang w:eastAsia="fr-FR"/>
        </w:rPr>
        <w:t xml:space="preserve"> (noté E° en V)</w:t>
      </w:r>
      <w:r w:rsidR="00EE6F78" w:rsidRPr="00674F89">
        <w:rPr>
          <w:lang w:eastAsia="fr-FR"/>
        </w:rPr>
        <w:t>, valeur qui traduit la « force » de l</w:t>
      </w:r>
      <w:r w:rsidR="00674F89" w:rsidRPr="00674F89">
        <w:rPr>
          <w:lang w:eastAsia="fr-FR"/>
        </w:rPr>
        <w:t>’</w:t>
      </w:r>
      <w:r w:rsidR="00EE6F78" w:rsidRPr="00674F89">
        <w:rPr>
          <w:lang w:eastAsia="fr-FR"/>
        </w:rPr>
        <w:t>oxydant du couple et de son réducteur.</w:t>
      </w:r>
    </w:p>
    <w:p w:rsidR="00EE6F78" w:rsidRPr="00674F89" w:rsidRDefault="00EE6F78" w:rsidP="00EE6F78">
      <w:pPr>
        <w:pStyle w:val="point2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>Un oxydant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un couple ne pourra réagir qu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avec un réducteur d</w:t>
      </w:r>
      <w:r w:rsidR="00674F89" w:rsidRPr="00674F89">
        <w:rPr>
          <w:lang w:eastAsia="fr-FR"/>
        </w:rPr>
        <w:t>’</w:t>
      </w:r>
      <w:r w:rsidRPr="00674F89">
        <w:rPr>
          <w:lang w:eastAsia="fr-FR"/>
        </w:rPr>
        <w:t>un couple dont le potentiel est plus petit et inversement. On classe alors les couples suivant un diagramme afin de déterminer la faisabilité de la réaction.</w:t>
      </w:r>
    </w:p>
    <w:p w:rsidR="00EE6F78" w:rsidRPr="00674F89" w:rsidRDefault="00EE6F78" w:rsidP="00EE6F78">
      <w:pPr>
        <w:pStyle w:val="Titre3"/>
        <w:rPr>
          <w:rFonts w:ascii="Linux Biolinum G" w:hAnsi="Linux Biolinum G" w:cs="Linux Biolinum G"/>
          <w:lang w:eastAsia="fr-FR"/>
        </w:rPr>
      </w:pPr>
      <w:r w:rsidRPr="00674F89">
        <w:rPr>
          <w:lang w:eastAsia="fr-FR"/>
        </w:rPr>
        <w:t>Classer, dans la mesure du possible, les couples étudiés lors des différentes réactions sur une échelle de potentiel.</w:t>
      </w:r>
    </w:p>
    <w:p w:rsidR="002448BF" w:rsidRPr="00674F89" w:rsidRDefault="002448BF">
      <w:pPr>
        <w:spacing w:after="200"/>
      </w:pPr>
    </w:p>
    <w:sectPr w:rsidR="002448BF" w:rsidRPr="00674F89" w:rsidSect="00146724">
      <w:footerReference w:type="default" r:id="rId9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7A5" w:rsidRDefault="009F57A5" w:rsidP="00F53BF9">
      <w:pPr>
        <w:spacing w:line="240" w:lineRule="auto"/>
      </w:pPr>
      <w:r>
        <w:separator/>
      </w:r>
    </w:p>
  </w:endnote>
  <w:endnote w:type="continuationSeparator" w:id="0">
    <w:p w:rsidR="009F57A5" w:rsidRDefault="009F57A5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Linux Biolinum G">
    <w:panose1 w:val="02000503000000000000"/>
    <w:charset w:val="00"/>
    <w:family w:val="auto"/>
    <w:pitch w:val="variable"/>
    <w:sig w:usb0="E0000AFF" w:usb1="5000E5FB" w:usb2="0000002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596E80">
      <w:rPr>
        <w:noProof/>
      </w:rPr>
      <w:t>04/10/21</w:t>
    </w:r>
    <w:r w:rsidRPr="00146724">
      <w:fldChar w:fldCharType="end"/>
    </w:r>
    <w:r w:rsidR="00F53BF9" w:rsidRPr="00146724">
      <w:tab/>
    </w:r>
    <w:fldSimple w:instr=" FILENAME   \* MERGEFORMAT ">
      <w:r w:rsidR="00596E80">
        <w:rPr>
          <w:noProof/>
        </w:rPr>
        <w:t>TP05_Oxydoreduction.docx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596E80">
      <w:rPr>
        <w:noProof/>
      </w:rPr>
      <w:t>3</w:t>
    </w:r>
    <w:r w:rsidRPr="00146724">
      <w:fldChar w:fldCharType="end"/>
    </w:r>
    <w:r w:rsidR="00F53BF9" w:rsidRPr="00146724">
      <w:t>/</w:t>
    </w:r>
    <w:fldSimple w:instr=" NUMPAGES   \* MERGEFORMAT ">
      <w:r w:rsidR="00596E8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7A5" w:rsidRDefault="009F57A5" w:rsidP="00F53BF9">
      <w:pPr>
        <w:spacing w:line="240" w:lineRule="auto"/>
      </w:pPr>
      <w:r>
        <w:separator/>
      </w:r>
    </w:p>
  </w:footnote>
  <w:footnote w:type="continuationSeparator" w:id="0">
    <w:p w:rsidR="009F57A5" w:rsidRDefault="009F57A5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3DB8263C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1E7FAB"/>
    <w:multiLevelType w:val="multilevel"/>
    <w:tmpl w:val="45BE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0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3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617F2006"/>
    <w:multiLevelType w:val="multilevel"/>
    <w:tmpl w:val="9106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CC5905"/>
    <w:multiLevelType w:val="multilevel"/>
    <w:tmpl w:val="982A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19" w15:restartNumberingAfterBreak="0">
    <w:nsid w:val="77430FFB"/>
    <w:multiLevelType w:val="multilevel"/>
    <w:tmpl w:val="6478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10"/>
  </w:num>
  <w:num w:numId="8">
    <w:abstractNumId w:val="14"/>
  </w:num>
  <w:num w:numId="9">
    <w:abstractNumId w:val="12"/>
  </w:num>
  <w:num w:numId="10">
    <w:abstractNumId w:val="13"/>
  </w:num>
  <w:num w:numId="11">
    <w:abstractNumId w:val="18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8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D9"/>
    <w:rsid w:val="00015E5B"/>
    <w:rsid w:val="000301A7"/>
    <w:rsid w:val="00034A43"/>
    <w:rsid w:val="00036612"/>
    <w:rsid w:val="00037C64"/>
    <w:rsid w:val="0004220C"/>
    <w:rsid w:val="00043776"/>
    <w:rsid w:val="00054007"/>
    <w:rsid w:val="0007345D"/>
    <w:rsid w:val="00081969"/>
    <w:rsid w:val="00084A4C"/>
    <w:rsid w:val="000878CD"/>
    <w:rsid w:val="00090F9D"/>
    <w:rsid w:val="000B1495"/>
    <w:rsid w:val="000C5DD1"/>
    <w:rsid w:val="000E2B50"/>
    <w:rsid w:val="000F07AC"/>
    <w:rsid w:val="001000DA"/>
    <w:rsid w:val="00103985"/>
    <w:rsid w:val="00105004"/>
    <w:rsid w:val="00136F25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954B4"/>
    <w:rsid w:val="002000B4"/>
    <w:rsid w:val="00215E44"/>
    <w:rsid w:val="002178F1"/>
    <w:rsid w:val="0022661D"/>
    <w:rsid w:val="00226AF7"/>
    <w:rsid w:val="00231F19"/>
    <w:rsid w:val="00241939"/>
    <w:rsid w:val="002448BF"/>
    <w:rsid w:val="00276CFC"/>
    <w:rsid w:val="00281460"/>
    <w:rsid w:val="0029296C"/>
    <w:rsid w:val="00297489"/>
    <w:rsid w:val="002A47A5"/>
    <w:rsid w:val="002B446E"/>
    <w:rsid w:val="002C55A5"/>
    <w:rsid w:val="002D5755"/>
    <w:rsid w:val="002D58B0"/>
    <w:rsid w:val="002D706A"/>
    <w:rsid w:val="002D72B5"/>
    <w:rsid w:val="002F5FEF"/>
    <w:rsid w:val="00301B60"/>
    <w:rsid w:val="003022D2"/>
    <w:rsid w:val="0031405A"/>
    <w:rsid w:val="00350FA8"/>
    <w:rsid w:val="00356C40"/>
    <w:rsid w:val="00380EE2"/>
    <w:rsid w:val="00393FB2"/>
    <w:rsid w:val="003D2634"/>
    <w:rsid w:val="003D77D9"/>
    <w:rsid w:val="003F2C28"/>
    <w:rsid w:val="003F4BCC"/>
    <w:rsid w:val="00404B10"/>
    <w:rsid w:val="00404C06"/>
    <w:rsid w:val="004259CC"/>
    <w:rsid w:val="004446A1"/>
    <w:rsid w:val="00472506"/>
    <w:rsid w:val="00476FD1"/>
    <w:rsid w:val="00495BC3"/>
    <w:rsid w:val="00497AB2"/>
    <w:rsid w:val="004C6AB6"/>
    <w:rsid w:val="004E79BD"/>
    <w:rsid w:val="004F32A0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87010"/>
    <w:rsid w:val="005953BB"/>
    <w:rsid w:val="00596E80"/>
    <w:rsid w:val="00596EF8"/>
    <w:rsid w:val="005B028A"/>
    <w:rsid w:val="005B1E55"/>
    <w:rsid w:val="005B2265"/>
    <w:rsid w:val="005B3312"/>
    <w:rsid w:val="005B34D6"/>
    <w:rsid w:val="005B6EF7"/>
    <w:rsid w:val="005C7FBE"/>
    <w:rsid w:val="005E31B2"/>
    <w:rsid w:val="005E6B45"/>
    <w:rsid w:val="005F5690"/>
    <w:rsid w:val="005F625F"/>
    <w:rsid w:val="00600F1C"/>
    <w:rsid w:val="006173CA"/>
    <w:rsid w:val="00617DD1"/>
    <w:rsid w:val="00620237"/>
    <w:rsid w:val="00626C00"/>
    <w:rsid w:val="006272F2"/>
    <w:rsid w:val="00673779"/>
    <w:rsid w:val="00674F89"/>
    <w:rsid w:val="00680BA3"/>
    <w:rsid w:val="00681676"/>
    <w:rsid w:val="0068322A"/>
    <w:rsid w:val="00691319"/>
    <w:rsid w:val="006B1CC4"/>
    <w:rsid w:val="006E4448"/>
    <w:rsid w:val="006F2B9A"/>
    <w:rsid w:val="006F4C43"/>
    <w:rsid w:val="00702073"/>
    <w:rsid w:val="00722D35"/>
    <w:rsid w:val="0073240B"/>
    <w:rsid w:val="00752178"/>
    <w:rsid w:val="00752408"/>
    <w:rsid w:val="007534F0"/>
    <w:rsid w:val="007756EC"/>
    <w:rsid w:val="00780F57"/>
    <w:rsid w:val="007E520A"/>
    <w:rsid w:val="007E67E1"/>
    <w:rsid w:val="007E745C"/>
    <w:rsid w:val="007F0BD5"/>
    <w:rsid w:val="00805AF8"/>
    <w:rsid w:val="008263CF"/>
    <w:rsid w:val="0082644C"/>
    <w:rsid w:val="0083249F"/>
    <w:rsid w:val="00842573"/>
    <w:rsid w:val="00843735"/>
    <w:rsid w:val="00851030"/>
    <w:rsid w:val="0085213E"/>
    <w:rsid w:val="008B4E04"/>
    <w:rsid w:val="008D7E8A"/>
    <w:rsid w:val="008E3D80"/>
    <w:rsid w:val="008E542D"/>
    <w:rsid w:val="00904342"/>
    <w:rsid w:val="009045EC"/>
    <w:rsid w:val="00911CD1"/>
    <w:rsid w:val="009263B2"/>
    <w:rsid w:val="00926B70"/>
    <w:rsid w:val="00927831"/>
    <w:rsid w:val="00927B03"/>
    <w:rsid w:val="00937A51"/>
    <w:rsid w:val="009567F1"/>
    <w:rsid w:val="00963C51"/>
    <w:rsid w:val="009674D2"/>
    <w:rsid w:val="009910C0"/>
    <w:rsid w:val="009919AA"/>
    <w:rsid w:val="00996011"/>
    <w:rsid w:val="009A30E5"/>
    <w:rsid w:val="009A382C"/>
    <w:rsid w:val="009C403C"/>
    <w:rsid w:val="009E1460"/>
    <w:rsid w:val="009F3DB1"/>
    <w:rsid w:val="009F57A5"/>
    <w:rsid w:val="00A0603B"/>
    <w:rsid w:val="00A07CF9"/>
    <w:rsid w:val="00A147BA"/>
    <w:rsid w:val="00A14C35"/>
    <w:rsid w:val="00A27F92"/>
    <w:rsid w:val="00A565DB"/>
    <w:rsid w:val="00A72A41"/>
    <w:rsid w:val="00A800AF"/>
    <w:rsid w:val="00A834D2"/>
    <w:rsid w:val="00AA190F"/>
    <w:rsid w:val="00AB0ED5"/>
    <w:rsid w:val="00AB272D"/>
    <w:rsid w:val="00AB3270"/>
    <w:rsid w:val="00AB4755"/>
    <w:rsid w:val="00AB5EF3"/>
    <w:rsid w:val="00AC3D20"/>
    <w:rsid w:val="00AD072D"/>
    <w:rsid w:val="00AD227F"/>
    <w:rsid w:val="00AE73FA"/>
    <w:rsid w:val="00AF09CD"/>
    <w:rsid w:val="00AF37D6"/>
    <w:rsid w:val="00B019DF"/>
    <w:rsid w:val="00B1135D"/>
    <w:rsid w:val="00B27CA1"/>
    <w:rsid w:val="00B32362"/>
    <w:rsid w:val="00B54C38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E0ABA"/>
    <w:rsid w:val="00BF264B"/>
    <w:rsid w:val="00C03A10"/>
    <w:rsid w:val="00C13BA5"/>
    <w:rsid w:val="00C229DC"/>
    <w:rsid w:val="00C246A2"/>
    <w:rsid w:val="00C2605B"/>
    <w:rsid w:val="00C27D72"/>
    <w:rsid w:val="00C30D77"/>
    <w:rsid w:val="00C604D1"/>
    <w:rsid w:val="00C76794"/>
    <w:rsid w:val="00C850F5"/>
    <w:rsid w:val="00C93211"/>
    <w:rsid w:val="00CA6A03"/>
    <w:rsid w:val="00CB73F3"/>
    <w:rsid w:val="00CD0FE4"/>
    <w:rsid w:val="00CE13D5"/>
    <w:rsid w:val="00D15D21"/>
    <w:rsid w:val="00D16D8B"/>
    <w:rsid w:val="00D21CB4"/>
    <w:rsid w:val="00D41230"/>
    <w:rsid w:val="00D422EB"/>
    <w:rsid w:val="00D43E2C"/>
    <w:rsid w:val="00D475A2"/>
    <w:rsid w:val="00D55034"/>
    <w:rsid w:val="00D62F0C"/>
    <w:rsid w:val="00D75D44"/>
    <w:rsid w:val="00D81CA0"/>
    <w:rsid w:val="00D910A7"/>
    <w:rsid w:val="00D94C3C"/>
    <w:rsid w:val="00DA18E1"/>
    <w:rsid w:val="00DC2E59"/>
    <w:rsid w:val="00DD251F"/>
    <w:rsid w:val="00DE0C14"/>
    <w:rsid w:val="00DE7F24"/>
    <w:rsid w:val="00DF42F0"/>
    <w:rsid w:val="00E03D0E"/>
    <w:rsid w:val="00E11284"/>
    <w:rsid w:val="00E2413F"/>
    <w:rsid w:val="00E2510D"/>
    <w:rsid w:val="00E26066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D0E0D"/>
    <w:rsid w:val="00EE099E"/>
    <w:rsid w:val="00EE6F78"/>
    <w:rsid w:val="00EF10CB"/>
    <w:rsid w:val="00EF130E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90CD7"/>
    <w:rsid w:val="00F91AA0"/>
    <w:rsid w:val="00FA4736"/>
    <w:rsid w:val="00FC0B9F"/>
    <w:rsid w:val="00FC27FF"/>
    <w:rsid w:val="00FC2987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F429"/>
  <w15:chartTrackingRefBased/>
  <w15:docId w15:val="{9F0524F8-3B03-4A6F-91C4-242F7E5B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0A7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D910A7"/>
    <w:pPr>
      <w:keepNext/>
      <w:numPr>
        <w:numId w:val="1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910A7"/>
    <w:pPr>
      <w:numPr>
        <w:ilvl w:val="1"/>
        <w:numId w:val="1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910A7"/>
    <w:pPr>
      <w:numPr>
        <w:ilvl w:val="2"/>
        <w:numId w:val="1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910A7"/>
    <w:pPr>
      <w:numPr>
        <w:ilvl w:val="3"/>
        <w:numId w:val="1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910A7"/>
    <w:pPr>
      <w:numPr>
        <w:ilvl w:val="4"/>
        <w:numId w:val="1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910A7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910A7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910A7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910A7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D910A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910A7"/>
  </w:style>
  <w:style w:type="character" w:customStyle="1" w:styleId="Titre1Car">
    <w:name w:val="Titre 1 Car"/>
    <w:basedOn w:val="Policepardfaut"/>
    <w:link w:val="Titre1"/>
    <w:rsid w:val="00D910A7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D910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D91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910A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910A7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D910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910A7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D910A7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D910A7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D910A7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D910A7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D910A7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fl3"/>
    <w:rsid w:val="00D910A7"/>
    <w:pPr>
      <w:ind w:left="1136"/>
    </w:pPr>
  </w:style>
  <w:style w:type="paragraph" w:styleId="Lgende">
    <w:name w:val="caption"/>
    <w:basedOn w:val="Normal"/>
    <w:next w:val="point1"/>
    <w:qFormat/>
    <w:rsid w:val="00D910A7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D910A7"/>
    <w:rPr>
      <w:color w:val="0000FF"/>
      <w:u w:val="single"/>
    </w:rPr>
  </w:style>
  <w:style w:type="character" w:customStyle="1" w:styleId="Maths">
    <w:name w:val="Maths"/>
    <w:basedOn w:val="Policepardfaut"/>
    <w:rsid w:val="00D910A7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910A7"/>
    <w:pPr>
      <w:numPr>
        <w:numId w:val="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910A7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D910A7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910A7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D910A7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910A7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910A7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D910A7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910A7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D910A7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point3"/>
    <w:rsid w:val="00D910A7"/>
    <w:pPr>
      <w:ind w:left="1420"/>
    </w:pPr>
  </w:style>
  <w:style w:type="paragraph" w:customStyle="1" w:styleId="point4a">
    <w:name w:val="point4a"/>
    <w:basedOn w:val="point3a"/>
    <w:rsid w:val="00D910A7"/>
    <w:pPr>
      <w:numPr>
        <w:numId w:val="15"/>
      </w:numPr>
    </w:pPr>
  </w:style>
  <w:style w:type="paragraph" w:customStyle="1" w:styleId="point5">
    <w:name w:val="point5"/>
    <w:basedOn w:val="Normal"/>
    <w:rsid w:val="00D910A7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910A7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910A7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0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0A7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D910A7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D910A7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910A7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D910A7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D910A7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D910A7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D910A7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D910A7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D910A7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D910A7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D910A7"/>
    <w:pPr>
      <w:numPr>
        <w:numId w:val="0"/>
      </w:numPr>
      <w:jc w:val="center"/>
    </w:pPr>
    <w:rPr>
      <w:sz w:val="28"/>
      <w:u w:val="none"/>
    </w:rPr>
  </w:style>
  <w:style w:type="paragraph" w:styleId="NormalWeb">
    <w:name w:val="Normal (Web)"/>
    <w:basedOn w:val="Normal"/>
    <w:uiPriority w:val="99"/>
    <w:semiHidden/>
    <w:unhideWhenUsed/>
    <w:rsid w:val="00680BA3"/>
    <w:pPr>
      <w:spacing w:before="100" w:beforeAutospacing="1" w:line="240" w:lineRule="auto"/>
      <w:jc w:val="both"/>
    </w:pPr>
    <w:rPr>
      <w:sz w:val="24"/>
      <w:szCs w:val="24"/>
      <w:lang w:eastAsia="fr-FR"/>
    </w:rPr>
  </w:style>
  <w:style w:type="paragraph" w:customStyle="1" w:styleId="western">
    <w:name w:val="western"/>
    <w:basedOn w:val="Normal"/>
    <w:rsid w:val="00680BA3"/>
    <w:pPr>
      <w:spacing w:before="100" w:beforeAutospacing="1" w:line="240" w:lineRule="auto"/>
      <w:jc w:val="both"/>
    </w:pPr>
    <w:rPr>
      <w:rFonts w:ascii="Linux Biolinum G" w:hAnsi="Linux Biolinum G" w:cs="Linux Biolinum G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1219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31</cp:revision>
  <cp:lastPrinted>2021-10-04T10:05:00Z</cp:lastPrinted>
  <dcterms:created xsi:type="dcterms:W3CDTF">2021-10-02T06:38:00Z</dcterms:created>
  <dcterms:modified xsi:type="dcterms:W3CDTF">2021-10-04T10:05:00Z</dcterms:modified>
</cp:coreProperties>
</file>